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8218E" w14:textId="6A917164" w:rsidR="00F60A68" w:rsidRPr="000465B8" w:rsidRDefault="00401BD4" w:rsidP="00401BD4">
      <w:pPr>
        <w:spacing w:before="120" w:after="200" w:line="276" w:lineRule="auto"/>
        <w:jc w:val="center"/>
        <w:rPr>
          <w:rFonts w:ascii="Verdana" w:hAnsi="Verdana"/>
          <w:b/>
          <w:color w:val="0070C0"/>
          <w:sz w:val="28"/>
          <w:szCs w:val="28"/>
        </w:rPr>
      </w:pPr>
      <w:r w:rsidRPr="000465B8">
        <w:rPr>
          <w:rFonts w:ascii="Verdana" w:hAnsi="Verdana"/>
          <w:b/>
          <w:color w:val="0070C0"/>
          <w:sz w:val="28"/>
          <w:szCs w:val="28"/>
        </w:rPr>
        <w:t>Guide to making a submission</w:t>
      </w:r>
    </w:p>
    <w:p w14:paraId="63AE1A0E" w14:textId="77777777" w:rsidR="00401BD4" w:rsidRDefault="00401BD4" w:rsidP="00D500F1">
      <w:pPr>
        <w:spacing w:before="120" w:after="200" w:line="276" w:lineRule="auto"/>
        <w:rPr>
          <w:rFonts w:ascii="Verdana" w:hAnsi="Verdana"/>
          <w:sz w:val="24"/>
          <w:szCs w:val="24"/>
        </w:rPr>
      </w:pPr>
    </w:p>
    <w:p w14:paraId="2E1BD78E" w14:textId="3CFA9691" w:rsidR="00401BD4" w:rsidRPr="00D500F1" w:rsidRDefault="00401BD4" w:rsidP="00D500F1">
      <w:pPr>
        <w:spacing w:before="120" w:after="200" w:line="276" w:lineRule="auto"/>
        <w:rPr>
          <w:rFonts w:ascii="Verdana" w:hAnsi="Verdana"/>
          <w:sz w:val="24"/>
          <w:szCs w:val="24"/>
        </w:rPr>
        <w:sectPr w:rsidR="00401BD4" w:rsidRPr="00D500F1" w:rsidSect="00401BD4">
          <w:headerReference w:type="default" r:id="rId8"/>
          <w:footerReference w:type="default" r:id="rId9"/>
          <w:type w:val="continuous"/>
          <w:pgSz w:w="11910" w:h="16840"/>
          <w:pgMar w:top="142" w:right="880" w:bottom="600" w:left="1040" w:header="0" w:footer="406" w:gutter="0"/>
          <w:cols w:space="720"/>
          <w:docGrid w:linePitch="299"/>
        </w:sectPr>
      </w:pPr>
    </w:p>
    <w:p w14:paraId="7D2940D8"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Introduction</w:t>
      </w:r>
      <w:bookmarkStart w:id="0" w:name="_GoBack"/>
      <w:bookmarkEnd w:id="0"/>
    </w:p>
    <w:p w14:paraId="32A98BA4" w14:textId="77777777" w:rsidR="00F60A68" w:rsidRPr="00D500F1" w:rsidRDefault="00D81505" w:rsidP="00D500F1">
      <w:pPr>
        <w:pStyle w:val="BodyText"/>
        <w:spacing w:before="120" w:after="200" w:line="276" w:lineRule="auto"/>
        <w:ind w:left="400"/>
        <w:rPr>
          <w:rFonts w:ascii="Verdana" w:hAnsi="Verdana"/>
          <w:sz w:val="24"/>
          <w:szCs w:val="24"/>
        </w:rPr>
      </w:pPr>
      <w:r w:rsidRPr="00D500F1">
        <w:rPr>
          <w:rFonts w:ascii="Verdana" w:hAnsi="Verdana"/>
          <w:sz w:val="24"/>
          <w:szCs w:val="24"/>
        </w:rPr>
        <w:t>‘Housing for All - a New Housing Plan for Ireland’ is the government’s housing plan to 2030.</w:t>
      </w:r>
      <w:r w:rsidR="006E6BC9" w:rsidRPr="00D500F1">
        <w:rPr>
          <w:rFonts w:ascii="Verdana" w:hAnsi="Verdana"/>
          <w:sz w:val="24"/>
          <w:szCs w:val="24"/>
        </w:rPr>
        <w:t xml:space="preserve"> </w:t>
      </w:r>
      <w:r w:rsidRPr="00D500F1">
        <w:rPr>
          <w:rFonts w:ascii="Verdana" w:hAnsi="Verdana"/>
          <w:sz w:val="24"/>
          <w:szCs w:val="24"/>
        </w:rPr>
        <w:t xml:space="preserve">It is a multi-annual, multi-billion euro plan which </w:t>
      </w:r>
      <w:r w:rsidR="0012661B" w:rsidRPr="00D500F1">
        <w:rPr>
          <w:rFonts w:ascii="Verdana" w:hAnsi="Verdana"/>
          <w:sz w:val="24"/>
          <w:szCs w:val="24"/>
        </w:rPr>
        <w:t>aims to</w:t>
      </w:r>
      <w:r w:rsidRPr="00D500F1">
        <w:rPr>
          <w:rFonts w:ascii="Verdana" w:hAnsi="Verdana"/>
          <w:sz w:val="24"/>
          <w:szCs w:val="24"/>
        </w:rPr>
        <w:t xml:space="preserve"> improve Ireland’s housing system and deliver more homes for people with different housing needs.</w:t>
      </w:r>
    </w:p>
    <w:p w14:paraId="2D5EDF15" w14:textId="77777777" w:rsidR="00F60A68" w:rsidRPr="00D500F1" w:rsidRDefault="00D81505" w:rsidP="00D500F1">
      <w:pPr>
        <w:pStyle w:val="BodyText"/>
        <w:spacing w:before="120" w:after="200" w:line="276" w:lineRule="auto"/>
        <w:ind w:left="400" w:right="838"/>
        <w:rPr>
          <w:rFonts w:ascii="Verdana" w:hAnsi="Verdana"/>
          <w:sz w:val="24"/>
          <w:szCs w:val="24"/>
        </w:rPr>
      </w:pPr>
      <w:r w:rsidRPr="00D500F1">
        <w:rPr>
          <w:rFonts w:ascii="Verdana" w:hAnsi="Verdana"/>
          <w:sz w:val="24"/>
          <w:szCs w:val="24"/>
        </w:rPr>
        <w:t xml:space="preserve">It is an objective of </w:t>
      </w:r>
      <w:r w:rsidR="0012661B" w:rsidRPr="00D500F1">
        <w:rPr>
          <w:rFonts w:ascii="Verdana" w:hAnsi="Verdana"/>
          <w:sz w:val="24"/>
          <w:szCs w:val="24"/>
        </w:rPr>
        <w:t>Tipperary County Council</w:t>
      </w:r>
      <w:r w:rsidRPr="00D500F1">
        <w:rPr>
          <w:rFonts w:ascii="Verdana" w:hAnsi="Verdana"/>
          <w:sz w:val="24"/>
          <w:szCs w:val="24"/>
        </w:rPr>
        <w:t xml:space="preserve"> (the Council) to create sustainable communities by encouraging a mix of mixed tenure (i.e. affordable and social) and mono tenure (i.e. affordable or social) housing.</w:t>
      </w:r>
    </w:p>
    <w:p w14:paraId="2BA0ED91" w14:textId="77777777" w:rsidR="00F60A68" w:rsidRPr="00D500F1" w:rsidRDefault="00D81505" w:rsidP="00D500F1">
      <w:pPr>
        <w:pStyle w:val="BodyText"/>
        <w:spacing w:before="120" w:after="200" w:line="276" w:lineRule="auto"/>
        <w:ind w:left="400" w:right="667"/>
        <w:rPr>
          <w:rFonts w:ascii="Verdana" w:hAnsi="Verdana"/>
          <w:sz w:val="24"/>
          <w:szCs w:val="24"/>
        </w:rPr>
      </w:pPr>
      <w:r w:rsidRPr="00D500F1">
        <w:rPr>
          <w:rFonts w:ascii="Verdana" w:hAnsi="Verdana"/>
          <w:sz w:val="24"/>
          <w:szCs w:val="24"/>
        </w:rPr>
        <w:t>The Council is seeking to increase the availability of affordable and social housing through various delivery mechanisms including through advance purchase arrangements with home builders and housing developers.</w:t>
      </w:r>
    </w:p>
    <w:p w14:paraId="57C68B59" w14:textId="77777777" w:rsidR="0012661B" w:rsidRPr="00D500F1" w:rsidRDefault="0012661B" w:rsidP="00D500F1">
      <w:pPr>
        <w:pStyle w:val="BodyText"/>
        <w:spacing w:before="120" w:after="200" w:line="276" w:lineRule="auto"/>
        <w:ind w:left="400" w:right="581"/>
        <w:rPr>
          <w:rFonts w:ascii="Verdana" w:hAnsi="Verdana"/>
          <w:sz w:val="24"/>
          <w:szCs w:val="24"/>
        </w:rPr>
      </w:pPr>
      <w:r w:rsidRPr="00D500F1">
        <w:rPr>
          <w:rFonts w:ascii="Verdana" w:hAnsi="Verdana"/>
          <w:sz w:val="24"/>
          <w:szCs w:val="24"/>
        </w:rPr>
        <w:t>Ho</w:t>
      </w:r>
      <w:r w:rsidR="00D81505" w:rsidRPr="00D500F1">
        <w:rPr>
          <w:rFonts w:ascii="Verdana" w:hAnsi="Verdana"/>
          <w:sz w:val="24"/>
          <w:szCs w:val="24"/>
        </w:rPr>
        <w:t xml:space="preserve">me builders and housing developers are being asked to consider offering properties with planning permission, where construction of the development or a phase of a development has not yet commenced, to the Council under an advance purchase turnkey arrangement, with payment on completion, for affordable or social housing purposes. </w:t>
      </w:r>
    </w:p>
    <w:p w14:paraId="76DCAD98" w14:textId="77777777" w:rsidR="00F60A68" w:rsidRPr="00D500F1" w:rsidRDefault="00D81505" w:rsidP="00D500F1">
      <w:pPr>
        <w:pStyle w:val="BodyText"/>
        <w:spacing w:before="120" w:after="200" w:line="276" w:lineRule="auto"/>
        <w:ind w:left="400" w:right="581"/>
        <w:rPr>
          <w:rFonts w:ascii="Verdana" w:hAnsi="Verdana"/>
          <w:sz w:val="24"/>
          <w:szCs w:val="24"/>
        </w:rPr>
      </w:pPr>
      <w:r w:rsidRPr="00D500F1">
        <w:rPr>
          <w:rFonts w:ascii="Verdana" w:hAnsi="Verdana"/>
          <w:sz w:val="24"/>
          <w:szCs w:val="24"/>
        </w:rPr>
        <w:t>Please note that the requirements under Part V of the Planning and Development Act 2000, as amended, will apply in the normal way to all proposals.</w:t>
      </w:r>
    </w:p>
    <w:p w14:paraId="0AFC9F60" w14:textId="77777777" w:rsidR="00D500F1" w:rsidRDefault="00D81505" w:rsidP="00D500F1">
      <w:pPr>
        <w:pStyle w:val="BodyText"/>
        <w:spacing w:before="120" w:after="200" w:line="276" w:lineRule="auto"/>
        <w:ind w:left="400"/>
        <w:rPr>
          <w:rFonts w:ascii="Verdana" w:hAnsi="Verdana"/>
          <w:sz w:val="24"/>
          <w:szCs w:val="24"/>
          <w:u w:val="single"/>
        </w:rPr>
      </w:pPr>
      <w:r w:rsidRPr="00D500F1">
        <w:rPr>
          <w:rFonts w:ascii="Verdana" w:hAnsi="Verdana"/>
          <w:sz w:val="24"/>
          <w:szCs w:val="24"/>
          <w:u w:val="single"/>
        </w:rPr>
        <w:t>Joint venture arrangements that include an Approved Housing Body will be considered.</w:t>
      </w:r>
    </w:p>
    <w:p w14:paraId="187AE2CB" w14:textId="77777777" w:rsidR="00D500F1" w:rsidRDefault="00D500F1">
      <w:pPr>
        <w:rPr>
          <w:rFonts w:ascii="Verdana" w:hAnsi="Verdana"/>
          <w:sz w:val="24"/>
          <w:szCs w:val="24"/>
        </w:rPr>
      </w:pPr>
      <w:r>
        <w:rPr>
          <w:rFonts w:ascii="Verdana" w:hAnsi="Verdana"/>
          <w:sz w:val="24"/>
          <w:szCs w:val="24"/>
        </w:rPr>
        <w:br w:type="page"/>
      </w:r>
    </w:p>
    <w:p w14:paraId="3D5B5313" w14:textId="77777777" w:rsidR="00F60A68" w:rsidRPr="00D500F1" w:rsidRDefault="00D81505" w:rsidP="00D500F1">
      <w:pPr>
        <w:pStyle w:val="Heading1"/>
        <w:numPr>
          <w:ilvl w:val="1"/>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4B6280"/>
          <w:sz w:val="24"/>
          <w:szCs w:val="24"/>
        </w:rPr>
        <w:lastRenderedPageBreak/>
        <w:t>Affordable Housing Funding</w:t>
      </w:r>
      <w:r w:rsidRPr="00D500F1">
        <w:rPr>
          <w:rFonts w:ascii="Verdana" w:hAnsi="Verdana"/>
          <w:color w:val="4B6280"/>
          <w:spacing w:val="-3"/>
          <w:sz w:val="24"/>
          <w:szCs w:val="24"/>
        </w:rPr>
        <w:t xml:space="preserve"> </w:t>
      </w:r>
      <w:r w:rsidRPr="00D500F1">
        <w:rPr>
          <w:rFonts w:ascii="Verdana" w:hAnsi="Verdana"/>
          <w:color w:val="4B6280"/>
          <w:sz w:val="24"/>
          <w:szCs w:val="24"/>
        </w:rPr>
        <w:t>(AHF)</w:t>
      </w:r>
    </w:p>
    <w:p w14:paraId="738EC4C2" w14:textId="77777777" w:rsidR="00F60A68" w:rsidRPr="00D500F1" w:rsidRDefault="00D81505" w:rsidP="00D500F1">
      <w:pPr>
        <w:pStyle w:val="Heading1"/>
        <w:numPr>
          <w:ilvl w:val="2"/>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212A35"/>
          <w:sz w:val="24"/>
          <w:szCs w:val="24"/>
        </w:rPr>
        <w:t>Affordable Purchase</w:t>
      </w:r>
    </w:p>
    <w:p w14:paraId="471F43E8" w14:textId="77777777" w:rsidR="00F60A68" w:rsidRPr="00D500F1" w:rsidRDefault="00D81505" w:rsidP="00D500F1">
      <w:pPr>
        <w:pStyle w:val="BodyText"/>
        <w:spacing w:before="120" w:after="200" w:line="276" w:lineRule="auto"/>
        <w:ind w:left="400" w:right="826"/>
        <w:rPr>
          <w:rFonts w:ascii="Verdana" w:hAnsi="Verdana"/>
          <w:sz w:val="24"/>
          <w:szCs w:val="24"/>
        </w:rPr>
      </w:pPr>
      <w:r w:rsidRPr="00D500F1">
        <w:rPr>
          <w:rFonts w:ascii="Verdana" w:hAnsi="Verdana"/>
          <w:sz w:val="24"/>
          <w:szCs w:val="24"/>
        </w:rPr>
        <w:t xml:space="preserve">Where appropriate proposals for affordable or mixed tenure dwellings are received and considered acceptable, </w:t>
      </w:r>
      <w:r w:rsidR="0012661B" w:rsidRPr="00D500F1">
        <w:rPr>
          <w:rFonts w:ascii="Verdana" w:hAnsi="Verdana"/>
          <w:sz w:val="24"/>
          <w:szCs w:val="24"/>
        </w:rPr>
        <w:t>Tipperary County Council may</w:t>
      </w:r>
      <w:r w:rsidRPr="00D500F1">
        <w:rPr>
          <w:rFonts w:ascii="Verdana" w:hAnsi="Verdana"/>
          <w:sz w:val="24"/>
          <w:szCs w:val="24"/>
        </w:rPr>
        <w:t xml:space="preserve"> seek Affordable Housing Funding (AHF) from the Department of Housing, Local Government and Heritage (DHLGH).</w:t>
      </w:r>
    </w:p>
    <w:p w14:paraId="157CF7D2" w14:textId="77777777" w:rsidR="006E6BC9" w:rsidRPr="00D500F1" w:rsidRDefault="00D81505" w:rsidP="00D500F1">
      <w:pPr>
        <w:pStyle w:val="BodyText"/>
        <w:spacing w:before="120" w:after="200" w:line="276" w:lineRule="auto"/>
        <w:ind w:left="400" w:right="594"/>
        <w:rPr>
          <w:rFonts w:ascii="Verdana" w:hAnsi="Verdana"/>
          <w:sz w:val="24"/>
          <w:szCs w:val="24"/>
        </w:rPr>
      </w:pPr>
      <w:r w:rsidRPr="00D500F1">
        <w:rPr>
          <w:rFonts w:ascii="Verdana" w:hAnsi="Verdana"/>
          <w:sz w:val="24"/>
          <w:szCs w:val="24"/>
        </w:rPr>
        <w:t>The Affordable Housing Fund (AHF) provides Exchequer funding support to local authorities to assist in meeting the cost of delivery of affordable homes via an equity share in the property. The AHF funding is dependent on several criteria and 3 funding limits. Please refer to the below table.</w:t>
      </w:r>
    </w:p>
    <w:p w14:paraId="763BF346" w14:textId="77777777" w:rsidR="00F60A68" w:rsidRPr="00D500F1" w:rsidRDefault="00D81505" w:rsidP="00D500F1">
      <w:pPr>
        <w:pStyle w:val="Heading1"/>
        <w:spacing w:before="120" w:after="200" w:line="276" w:lineRule="auto"/>
        <w:ind w:left="400" w:firstLine="0"/>
        <w:rPr>
          <w:rFonts w:ascii="Verdana" w:hAnsi="Verdana"/>
          <w:b w:val="0"/>
          <w:sz w:val="24"/>
          <w:szCs w:val="24"/>
        </w:rPr>
      </w:pPr>
      <w:r w:rsidRPr="00D500F1">
        <w:rPr>
          <w:rFonts w:ascii="Verdana" w:hAnsi="Verdana"/>
          <w:sz w:val="24"/>
          <w:szCs w:val="24"/>
        </w:rPr>
        <w:t>Funding Limit Categorisation</w:t>
      </w:r>
      <w:r w:rsidR="00EC1468" w:rsidRPr="00D500F1">
        <w:rPr>
          <w:rStyle w:val="FootnoteReference"/>
          <w:rFonts w:ascii="Verdana" w:hAnsi="Verdana"/>
          <w:sz w:val="24"/>
          <w:szCs w:val="24"/>
        </w:rPr>
        <w:footnoteReference w:id="1"/>
      </w: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3"/>
        <w:gridCol w:w="2693"/>
      </w:tblGrid>
      <w:tr w:rsidR="00F60A68" w:rsidRPr="00D500F1" w14:paraId="7BF90F3C" w14:textId="77777777">
        <w:trPr>
          <w:trHeight w:val="292"/>
        </w:trPr>
        <w:tc>
          <w:tcPr>
            <w:tcW w:w="6483" w:type="dxa"/>
          </w:tcPr>
          <w:p w14:paraId="74F0C946" w14:textId="77777777" w:rsidR="00F60A68" w:rsidRPr="00D500F1" w:rsidRDefault="00D81505" w:rsidP="00D500F1">
            <w:pPr>
              <w:pStyle w:val="TableParagraph"/>
              <w:spacing w:before="120" w:after="200" w:line="276" w:lineRule="auto"/>
              <w:ind w:left="107"/>
              <w:rPr>
                <w:rFonts w:ascii="Verdana" w:hAnsi="Verdana"/>
                <w:b/>
                <w:sz w:val="24"/>
                <w:szCs w:val="24"/>
              </w:rPr>
            </w:pPr>
            <w:r w:rsidRPr="00D500F1">
              <w:rPr>
                <w:rFonts w:ascii="Verdana" w:hAnsi="Verdana"/>
                <w:b/>
                <w:sz w:val="24"/>
                <w:szCs w:val="24"/>
              </w:rPr>
              <w:t>Scheme density</w:t>
            </w:r>
          </w:p>
        </w:tc>
        <w:tc>
          <w:tcPr>
            <w:tcW w:w="2693" w:type="dxa"/>
          </w:tcPr>
          <w:p w14:paraId="54668494" w14:textId="77777777" w:rsidR="00F60A68" w:rsidRPr="00D500F1" w:rsidRDefault="00D81505" w:rsidP="00D500F1">
            <w:pPr>
              <w:pStyle w:val="TableParagraph"/>
              <w:spacing w:before="120" w:after="200" w:line="276" w:lineRule="auto"/>
              <w:ind w:left="108"/>
              <w:rPr>
                <w:rFonts w:ascii="Verdana" w:hAnsi="Verdana"/>
                <w:b/>
                <w:sz w:val="24"/>
                <w:szCs w:val="24"/>
              </w:rPr>
            </w:pPr>
            <w:r w:rsidRPr="00D500F1">
              <w:rPr>
                <w:rFonts w:ascii="Verdana" w:hAnsi="Verdana"/>
                <w:b/>
                <w:sz w:val="24"/>
                <w:szCs w:val="24"/>
              </w:rPr>
              <w:t>Funding limit</w:t>
            </w:r>
          </w:p>
        </w:tc>
      </w:tr>
      <w:tr w:rsidR="00F60A68" w:rsidRPr="00D500F1" w14:paraId="4B7652C0" w14:textId="77777777">
        <w:trPr>
          <w:trHeight w:val="873"/>
        </w:trPr>
        <w:tc>
          <w:tcPr>
            <w:tcW w:w="6483" w:type="dxa"/>
          </w:tcPr>
          <w:p w14:paraId="1CCA5919" w14:textId="77777777" w:rsidR="00F60A68" w:rsidRPr="00D500F1" w:rsidRDefault="00D81505" w:rsidP="00D500F1">
            <w:pPr>
              <w:pStyle w:val="TableParagraph"/>
              <w:spacing w:before="120" w:after="200" w:line="276" w:lineRule="auto"/>
              <w:ind w:left="107" w:right="330"/>
              <w:rPr>
                <w:rFonts w:ascii="Verdana" w:hAnsi="Verdana"/>
                <w:sz w:val="24"/>
                <w:szCs w:val="24"/>
              </w:rPr>
            </w:pPr>
            <w:r w:rsidRPr="00D500F1">
              <w:rPr>
                <w:rFonts w:ascii="Verdana" w:hAnsi="Verdana"/>
                <w:sz w:val="24"/>
                <w:szCs w:val="24"/>
              </w:rPr>
              <w:t xml:space="preserve">Dwellings in schemes with a net density of </w:t>
            </w:r>
            <w:r w:rsidRPr="00D500F1">
              <w:rPr>
                <w:rFonts w:ascii="Verdana" w:hAnsi="Verdana"/>
                <w:b/>
                <w:sz w:val="24"/>
                <w:szCs w:val="24"/>
              </w:rPr>
              <w:t xml:space="preserve">over 50 dwellings per hectare </w:t>
            </w:r>
            <w:r w:rsidRPr="00D500F1">
              <w:rPr>
                <w:rFonts w:ascii="Verdana" w:hAnsi="Verdana"/>
                <w:sz w:val="24"/>
                <w:szCs w:val="24"/>
              </w:rPr>
              <w:t>in cities designated under the National Planning</w:t>
            </w:r>
            <w:r w:rsidR="00EC1468" w:rsidRPr="00D500F1">
              <w:rPr>
                <w:rFonts w:ascii="Verdana" w:hAnsi="Verdana"/>
                <w:sz w:val="24"/>
                <w:szCs w:val="24"/>
              </w:rPr>
              <w:t xml:space="preserve"> </w:t>
            </w:r>
            <w:r w:rsidRPr="00D500F1">
              <w:rPr>
                <w:rFonts w:ascii="Verdana" w:hAnsi="Verdana"/>
                <w:sz w:val="24"/>
                <w:szCs w:val="24"/>
              </w:rPr>
              <w:t>Framework</w:t>
            </w:r>
          </w:p>
        </w:tc>
        <w:tc>
          <w:tcPr>
            <w:tcW w:w="2693" w:type="dxa"/>
          </w:tcPr>
          <w:p w14:paraId="19C8E7EE" w14:textId="77777777" w:rsidR="00F60A68" w:rsidRPr="00D500F1" w:rsidRDefault="00D81505" w:rsidP="00D500F1">
            <w:pPr>
              <w:pStyle w:val="TableParagraph"/>
              <w:spacing w:before="120" w:after="200" w:line="276" w:lineRule="auto"/>
              <w:ind w:left="108"/>
              <w:rPr>
                <w:rFonts w:ascii="Verdana" w:hAnsi="Verdana"/>
                <w:sz w:val="24"/>
                <w:szCs w:val="24"/>
              </w:rPr>
            </w:pPr>
            <w:r w:rsidRPr="00D500F1">
              <w:rPr>
                <w:rFonts w:ascii="Verdana" w:hAnsi="Verdana"/>
                <w:sz w:val="24"/>
                <w:szCs w:val="24"/>
              </w:rPr>
              <w:t>€100,000</w:t>
            </w:r>
          </w:p>
        </w:tc>
      </w:tr>
      <w:tr w:rsidR="00F60A68" w:rsidRPr="00D500F1" w14:paraId="465532DA" w14:textId="77777777">
        <w:trPr>
          <w:trHeight w:val="580"/>
        </w:trPr>
        <w:tc>
          <w:tcPr>
            <w:tcW w:w="6483" w:type="dxa"/>
          </w:tcPr>
          <w:p w14:paraId="15517FEC"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 xml:space="preserve">Dwellings in schemes with a net density of </w:t>
            </w:r>
            <w:r w:rsidRPr="00D500F1">
              <w:rPr>
                <w:rFonts w:ascii="Verdana" w:hAnsi="Verdana"/>
                <w:b/>
                <w:sz w:val="24"/>
                <w:szCs w:val="24"/>
              </w:rPr>
              <w:t>over 35 dwellings</w:t>
            </w:r>
            <w:r w:rsidR="00EC1468" w:rsidRPr="00D500F1">
              <w:rPr>
                <w:rFonts w:ascii="Verdana" w:hAnsi="Verdana"/>
                <w:b/>
                <w:sz w:val="24"/>
                <w:szCs w:val="24"/>
              </w:rPr>
              <w:t xml:space="preserve"> </w:t>
            </w:r>
            <w:r w:rsidRPr="00D500F1">
              <w:rPr>
                <w:rFonts w:ascii="Verdana" w:hAnsi="Verdana"/>
                <w:b/>
                <w:sz w:val="24"/>
                <w:szCs w:val="24"/>
              </w:rPr>
              <w:t xml:space="preserve">and under 50 dwellings per hectare </w:t>
            </w:r>
            <w:r w:rsidRPr="00D500F1">
              <w:rPr>
                <w:rFonts w:ascii="Verdana" w:hAnsi="Verdana"/>
                <w:sz w:val="24"/>
                <w:szCs w:val="24"/>
              </w:rPr>
              <w:t>in all urban areas</w:t>
            </w:r>
          </w:p>
        </w:tc>
        <w:tc>
          <w:tcPr>
            <w:tcW w:w="2693" w:type="dxa"/>
          </w:tcPr>
          <w:p w14:paraId="72A530FC" w14:textId="77777777" w:rsidR="00F60A68" w:rsidRPr="00D500F1" w:rsidRDefault="00D81505" w:rsidP="00D500F1">
            <w:pPr>
              <w:pStyle w:val="TableParagraph"/>
              <w:spacing w:before="120" w:after="200" w:line="276" w:lineRule="auto"/>
              <w:ind w:left="108"/>
              <w:rPr>
                <w:rFonts w:ascii="Verdana" w:hAnsi="Verdana"/>
                <w:sz w:val="24"/>
                <w:szCs w:val="24"/>
              </w:rPr>
            </w:pPr>
            <w:r w:rsidRPr="00D500F1">
              <w:rPr>
                <w:rFonts w:ascii="Verdana" w:hAnsi="Verdana"/>
                <w:sz w:val="24"/>
                <w:szCs w:val="24"/>
              </w:rPr>
              <w:t>€75,000</w:t>
            </w:r>
          </w:p>
        </w:tc>
      </w:tr>
      <w:tr w:rsidR="00F60A68" w:rsidRPr="00D500F1" w14:paraId="3437E5CF" w14:textId="77777777">
        <w:trPr>
          <w:trHeight w:val="583"/>
        </w:trPr>
        <w:tc>
          <w:tcPr>
            <w:tcW w:w="6483" w:type="dxa"/>
          </w:tcPr>
          <w:p w14:paraId="4D8CA00C" w14:textId="77777777" w:rsidR="00F60A68" w:rsidRPr="00D500F1" w:rsidRDefault="00D81505" w:rsidP="00D500F1">
            <w:pPr>
              <w:pStyle w:val="TableParagraph"/>
              <w:spacing w:before="120" w:after="200" w:line="276" w:lineRule="auto"/>
              <w:ind w:left="107"/>
              <w:rPr>
                <w:rFonts w:ascii="Verdana" w:hAnsi="Verdana"/>
                <w:b/>
                <w:sz w:val="24"/>
                <w:szCs w:val="24"/>
              </w:rPr>
            </w:pPr>
            <w:r w:rsidRPr="00D500F1">
              <w:rPr>
                <w:rFonts w:ascii="Verdana" w:hAnsi="Verdana"/>
                <w:sz w:val="24"/>
                <w:szCs w:val="24"/>
              </w:rPr>
              <w:t xml:space="preserve">Dwellings in schemes with a net density of </w:t>
            </w:r>
            <w:r w:rsidRPr="00D500F1">
              <w:rPr>
                <w:rFonts w:ascii="Verdana" w:hAnsi="Verdana"/>
                <w:b/>
                <w:sz w:val="24"/>
                <w:szCs w:val="24"/>
              </w:rPr>
              <w:t>less than 35</w:t>
            </w:r>
            <w:r w:rsidR="00EC1468" w:rsidRPr="00D500F1">
              <w:rPr>
                <w:rFonts w:ascii="Verdana" w:hAnsi="Verdana"/>
                <w:b/>
                <w:sz w:val="24"/>
                <w:szCs w:val="24"/>
              </w:rPr>
              <w:t xml:space="preserve"> </w:t>
            </w:r>
            <w:r w:rsidRPr="00D500F1">
              <w:rPr>
                <w:rFonts w:ascii="Verdana" w:hAnsi="Verdana"/>
                <w:b/>
                <w:sz w:val="24"/>
                <w:szCs w:val="24"/>
              </w:rPr>
              <w:t>dwellings per hectare</w:t>
            </w:r>
          </w:p>
        </w:tc>
        <w:tc>
          <w:tcPr>
            <w:tcW w:w="2693" w:type="dxa"/>
          </w:tcPr>
          <w:p w14:paraId="26E4D7CF" w14:textId="77777777" w:rsidR="00F60A68" w:rsidRPr="00D500F1" w:rsidRDefault="00D81505" w:rsidP="00D500F1">
            <w:pPr>
              <w:pStyle w:val="TableParagraph"/>
              <w:spacing w:before="120" w:after="200" w:line="276" w:lineRule="auto"/>
              <w:ind w:left="108"/>
              <w:rPr>
                <w:rFonts w:ascii="Verdana" w:hAnsi="Verdana"/>
                <w:sz w:val="24"/>
                <w:szCs w:val="24"/>
              </w:rPr>
            </w:pPr>
            <w:r w:rsidRPr="00D500F1">
              <w:rPr>
                <w:rFonts w:ascii="Verdana" w:hAnsi="Verdana"/>
                <w:sz w:val="24"/>
                <w:szCs w:val="24"/>
              </w:rPr>
              <w:t>€50,000</w:t>
            </w:r>
          </w:p>
        </w:tc>
      </w:tr>
    </w:tbl>
    <w:p w14:paraId="5F780639" w14:textId="77777777" w:rsidR="00F60A68" w:rsidRPr="00D500F1" w:rsidRDefault="00D81505" w:rsidP="00D500F1">
      <w:pPr>
        <w:pStyle w:val="BodyText"/>
        <w:spacing w:before="120" w:after="200" w:line="276" w:lineRule="auto"/>
        <w:ind w:left="400" w:right="554"/>
        <w:rPr>
          <w:rFonts w:ascii="Verdana" w:hAnsi="Verdana"/>
          <w:sz w:val="24"/>
          <w:szCs w:val="24"/>
        </w:rPr>
      </w:pPr>
      <w:r w:rsidRPr="00D500F1">
        <w:rPr>
          <w:rFonts w:ascii="Verdana" w:hAnsi="Verdana"/>
          <w:sz w:val="24"/>
          <w:szCs w:val="24"/>
        </w:rPr>
        <w:t>The AHF funding must achieve a minimum 15% discount on open market values of comparable new build properties for affordable purchase, with the benefit of the applied for AHF funding taken into account.</w:t>
      </w:r>
    </w:p>
    <w:p w14:paraId="5F8B0B7A" w14:textId="0095E43B" w:rsidR="00401BD4" w:rsidRDefault="00401BD4">
      <w:pPr>
        <w:rPr>
          <w:rFonts w:ascii="Verdana" w:hAnsi="Verdana"/>
          <w:b/>
          <w:bCs/>
          <w:sz w:val="24"/>
          <w:szCs w:val="24"/>
        </w:rPr>
      </w:pPr>
    </w:p>
    <w:p w14:paraId="11614BE1" w14:textId="5CA8C32A" w:rsidR="00401BD4" w:rsidRDefault="00401BD4">
      <w:pPr>
        <w:rPr>
          <w:rFonts w:ascii="Verdana" w:hAnsi="Verdana"/>
          <w:b/>
          <w:bCs/>
          <w:sz w:val="24"/>
          <w:szCs w:val="24"/>
        </w:rPr>
      </w:pPr>
    </w:p>
    <w:p w14:paraId="51541216" w14:textId="2146C6D6" w:rsidR="00401BD4" w:rsidRDefault="00401BD4">
      <w:pPr>
        <w:rPr>
          <w:rFonts w:ascii="Verdana" w:hAnsi="Verdana"/>
          <w:b/>
          <w:bCs/>
          <w:sz w:val="24"/>
          <w:szCs w:val="24"/>
        </w:rPr>
      </w:pPr>
    </w:p>
    <w:p w14:paraId="3346C859" w14:textId="3D80D88C" w:rsidR="00401BD4" w:rsidRDefault="00401BD4">
      <w:pPr>
        <w:rPr>
          <w:rFonts w:ascii="Verdana" w:hAnsi="Verdana"/>
          <w:b/>
          <w:bCs/>
          <w:sz w:val="24"/>
          <w:szCs w:val="24"/>
        </w:rPr>
      </w:pPr>
    </w:p>
    <w:p w14:paraId="13004103" w14:textId="0BCAD4E1" w:rsidR="00401BD4" w:rsidRDefault="00401BD4">
      <w:pPr>
        <w:rPr>
          <w:rFonts w:ascii="Verdana" w:hAnsi="Verdana"/>
          <w:b/>
          <w:bCs/>
          <w:sz w:val="24"/>
          <w:szCs w:val="24"/>
        </w:rPr>
      </w:pPr>
    </w:p>
    <w:p w14:paraId="7F556578" w14:textId="0A22B378" w:rsidR="00401BD4" w:rsidRDefault="00401BD4">
      <w:pPr>
        <w:rPr>
          <w:rFonts w:ascii="Verdana" w:hAnsi="Verdana"/>
          <w:b/>
          <w:bCs/>
          <w:sz w:val="24"/>
          <w:szCs w:val="24"/>
        </w:rPr>
      </w:pPr>
    </w:p>
    <w:p w14:paraId="704BB445" w14:textId="234FA551" w:rsidR="00401BD4" w:rsidRDefault="00401BD4">
      <w:pPr>
        <w:rPr>
          <w:rFonts w:ascii="Verdana" w:hAnsi="Verdana"/>
          <w:b/>
          <w:bCs/>
          <w:sz w:val="24"/>
          <w:szCs w:val="24"/>
        </w:rPr>
      </w:pPr>
    </w:p>
    <w:p w14:paraId="4185DDC8" w14:textId="77777777" w:rsidR="00401BD4" w:rsidRDefault="00401BD4">
      <w:pPr>
        <w:rPr>
          <w:rFonts w:ascii="Verdana" w:hAnsi="Verdana"/>
          <w:b/>
          <w:bCs/>
          <w:sz w:val="24"/>
          <w:szCs w:val="24"/>
        </w:rPr>
      </w:pPr>
    </w:p>
    <w:p w14:paraId="1A939240" w14:textId="744440C7" w:rsidR="00F60A68" w:rsidRPr="00D500F1" w:rsidRDefault="00D81505" w:rsidP="00D500F1">
      <w:pPr>
        <w:pStyle w:val="Heading1"/>
        <w:spacing w:before="120" w:after="200" w:line="276" w:lineRule="auto"/>
        <w:ind w:left="400" w:firstLine="0"/>
        <w:rPr>
          <w:rFonts w:ascii="Verdana" w:hAnsi="Verdana"/>
          <w:sz w:val="24"/>
          <w:szCs w:val="24"/>
        </w:rPr>
      </w:pPr>
      <w:r w:rsidRPr="00D500F1">
        <w:rPr>
          <w:rFonts w:ascii="Verdana" w:hAnsi="Verdana"/>
          <w:sz w:val="24"/>
          <w:szCs w:val="24"/>
        </w:rPr>
        <w:lastRenderedPageBreak/>
        <w:t xml:space="preserve">Example </w:t>
      </w:r>
    </w:p>
    <w:tbl>
      <w:tblPr>
        <w:tblW w:w="46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6381"/>
        <w:gridCol w:w="2551"/>
      </w:tblGrid>
      <w:tr w:rsidR="006E6BC9" w:rsidRPr="00D500F1" w14:paraId="003E513D" w14:textId="77777777" w:rsidTr="006E6BC9">
        <w:trPr>
          <w:trHeight w:val="290"/>
        </w:trPr>
        <w:tc>
          <w:tcPr>
            <w:tcW w:w="5000" w:type="pct"/>
            <w:gridSpan w:val="3"/>
          </w:tcPr>
          <w:p w14:paraId="2A5E570D" w14:textId="77777777" w:rsidR="006E6BC9" w:rsidRPr="00D500F1" w:rsidRDefault="006E6BC9" w:rsidP="00D500F1">
            <w:pPr>
              <w:pStyle w:val="TableParagraph"/>
              <w:spacing w:before="120" w:after="200" w:line="276" w:lineRule="auto"/>
              <w:jc w:val="center"/>
              <w:rPr>
                <w:rFonts w:ascii="Verdana" w:hAnsi="Verdana"/>
                <w:sz w:val="24"/>
                <w:szCs w:val="24"/>
              </w:rPr>
            </w:pPr>
            <w:r w:rsidRPr="00D500F1">
              <w:rPr>
                <w:rFonts w:ascii="Verdana" w:hAnsi="Verdana"/>
                <w:b/>
                <w:sz w:val="24"/>
                <w:szCs w:val="24"/>
              </w:rPr>
              <w:t>Local Authority Affordable Housing</w:t>
            </w:r>
          </w:p>
        </w:tc>
      </w:tr>
      <w:tr w:rsidR="006E6BC9" w:rsidRPr="00D500F1" w14:paraId="73E1DE56" w14:textId="77777777" w:rsidTr="006E6BC9">
        <w:trPr>
          <w:trHeight w:val="292"/>
        </w:trPr>
        <w:tc>
          <w:tcPr>
            <w:tcW w:w="295" w:type="pct"/>
          </w:tcPr>
          <w:p w14:paraId="71BF3785"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1</w:t>
            </w:r>
          </w:p>
        </w:tc>
        <w:tc>
          <w:tcPr>
            <w:tcW w:w="3361" w:type="pct"/>
          </w:tcPr>
          <w:p w14:paraId="4FC1E985"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Cost of Provision (all-in c</w:t>
            </w:r>
            <w:bookmarkStart w:id="1" w:name="_bookmark3"/>
            <w:bookmarkEnd w:id="1"/>
            <w:r w:rsidRPr="00D500F1">
              <w:rPr>
                <w:rFonts w:ascii="Verdana" w:hAnsi="Verdana"/>
                <w:sz w:val="24"/>
                <w:szCs w:val="24"/>
              </w:rPr>
              <w:t>osts)</w:t>
            </w:r>
            <w:r w:rsidRPr="00D500F1">
              <w:rPr>
                <w:rStyle w:val="FootnoteReference"/>
                <w:rFonts w:ascii="Verdana" w:hAnsi="Verdana"/>
                <w:sz w:val="24"/>
                <w:szCs w:val="24"/>
              </w:rPr>
              <w:footnoteReference w:id="2"/>
            </w:r>
          </w:p>
        </w:tc>
        <w:tc>
          <w:tcPr>
            <w:tcW w:w="1344" w:type="pct"/>
          </w:tcPr>
          <w:p w14:paraId="5D287373" w14:textId="77777777" w:rsidR="006E6BC9" w:rsidRPr="00D500F1" w:rsidRDefault="006E6BC9"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€220,000</w:t>
            </w:r>
          </w:p>
        </w:tc>
      </w:tr>
      <w:tr w:rsidR="006E6BC9" w:rsidRPr="00D500F1" w14:paraId="54F6C111" w14:textId="77777777" w:rsidTr="006E6BC9">
        <w:trPr>
          <w:trHeight w:val="290"/>
        </w:trPr>
        <w:tc>
          <w:tcPr>
            <w:tcW w:w="295" w:type="pct"/>
          </w:tcPr>
          <w:p w14:paraId="3B1B8819"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2</w:t>
            </w:r>
          </w:p>
        </w:tc>
        <w:tc>
          <w:tcPr>
            <w:tcW w:w="3361" w:type="pct"/>
          </w:tcPr>
          <w:p w14:paraId="2A40EE7E"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Affordable Housing Funding (AHF)</w:t>
            </w:r>
          </w:p>
        </w:tc>
        <w:tc>
          <w:tcPr>
            <w:tcW w:w="1344" w:type="pct"/>
          </w:tcPr>
          <w:p w14:paraId="180A0F39" w14:textId="77777777" w:rsidR="006E6BC9" w:rsidRPr="00D500F1" w:rsidRDefault="006E6BC9" w:rsidP="00D500F1">
            <w:pPr>
              <w:pStyle w:val="TableParagraph"/>
              <w:spacing w:before="120" w:after="200" w:line="276" w:lineRule="auto"/>
              <w:ind w:right="97"/>
              <w:jc w:val="right"/>
              <w:rPr>
                <w:rFonts w:ascii="Verdana" w:hAnsi="Verdana"/>
                <w:sz w:val="24"/>
                <w:szCs w:val="24"/>
              </w:rPr>
            </w:pPr>
            <w:r w:rsidRPr="00D500F1">
              <w:rPr>
                <w:rFonts w:ascii="Verdana" w:hAnsi="Verdana"/>
                <w:sz w:val="24"/>
                <w:szCs w:val="24"/>
              </w:rPr>
              <w:t>€50,000</w:t>
            </w:r>
          </w:p>
        </w:tc>
      </w:tr>
      <w:tr w:rsidR="006E6BC9" w:rsidRPr="00D500F1" w14:paraId="6197394B" w14:textId="77777777" w:rsidTr="006E6BC9">
        <w:trPr>
          <w:trHeight w:val="290"/>
        </w:trPr>
        <w:tc>
          <w:tcPr>
            <w:tcW w:w="295" w:type="pct"/>
          </w:tcPr>
          <w:p w14:paraId="19598E55"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3</w:t>
            </w:r>
          </w:p>
        </w:tc>
        <w:tc>
          <w:tcPr>
            <w:tcW w:w="3361" w:type="pct"/>
          </w:tcPr>
          <w:p w14:paraId="1BB60E99"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Purchaser contribution (i.e. Mortgage and deposit)</w:t>
            </w:r>
          </w:p>
        </w:tc>
        <w:tc>
          <w:tcPr>
            <w:tcW w:w="1344" w:type="pct"/>
          </w:tcPr>
          <w:p w14:paraId="325AD481" w14:textId="77777777" w:rsidR="006E6BC9" w:rsidRPr="00D500F1" w:rsidRDefault="006E6BC9"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€170,000</w:t>
            </w:r>
          </w:p>
        </w:tc>
      </w:tr>
      <w:tr w:rsidR="006E6BC9" w:rsidRPr="00D500F1" w14:paraId="79F53395" w14:textId="77777777" w:rsidTr="006E6BC9">
        <w:trPr>
          <w:trHeight w:val="292"/>
        </w:trPr>
        <w:tc>
          <w:tcPr>
            <w:tcW w:w="295" w:type="pct"/>
          </w:tcPr>
          <w:p w14:paraId="017DE9B0"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4</w:t>
            </w:r>
          </w:p>
        </w:tc>
        <w:tc>
          <w:tcPr>
            <w:tcW w:w="3361" w:type="pct"/>
          </w:tcPr>
          <w:p w14:paraId="567AA694" w14:textId="77777777" w:rsidR="006E6BC9" w:rsidRPr="00D500F1" w:rsidRDefault="006E6BC9"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Open market values of comparable new build</w:t>
            </w:r>
          </w:p>
        </w:tc>
        <w:tc>
          <w:tcPr>
            <w:tcW w:w="1344" w:type="pct"/>
          </w:tcPr>
          <w:p w14:paraId="3A556AF6" w14:textId="77777777" w:rsidR="006E6BC9" w:rsidRPr="00D500F1" w:rsidRDefault="006E6BC9"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€200,000</w:t>
            </w:r>
          </w:p>
        </w:tc>
      </w:tr>
      <w:tr w:rsidR="006E6BC9" w:rsidRPr="00D500F1" w14:paraId="11D3A730" w14:textId="77777777" w:rsidTr="006E6BC9">
        <w:trPr>
          <w:trHeight w:val="290"/>
        </w:trPr>
        <w:tc>
          <w:tcPr>
            <w:tcW w:w="295" w:type="pct"/>
          </w:tcPr>
          <w:p w14:paraId="4EC8E1A0" w14:textId="77777777" w:rsidR="006E6BC9" w:rsidRPr="00D500F1" w:rsidRDefault="006E6BC9" w:rsidP="00D500F1">
            <w:pPr>
              <w:pStyle w:val="TableParagraph"/>
              <w:spacing w:before="120" w:after="200" w:line="276" w:lineRule="auto"/>
              <w:ind w:left="107"/>
              <w:rPr>
                <w:rFonts w:ascii="Verdana" w:hAnsi="Verdana"/>
                <w:sz w:val="24"/>
                <w:szCs w:val="24"/>
              </w:rPr>
            </w:pPr>
          </w:p>
        </w:tc>
        <w:tc>
          <w:tcPr>
            <w:tcW w:w="3361" w:type="pct"/>
          </w:tcPr>
          <w:p w14:paraId="0B8492C4" w14:textId="77777777" w:rsidR="006E6BC9" w:rsidRPr="00D500F1" w:rsidRDefault="006E6BC9" w:rsidP="00D500F1">
            <w:pPr>
              <w:pStyle w:val="TableParagraph"/>
              <w:spacing w:before="120" w:after="200" w:line="276" w:lineRule="auto"/>
              <w:ind w:left="107"/>
              <w:rPr>
                <w:rFonts w:ascii="Verdana" w:hAnsi="Verdana"/>
                <w:b/>
                <w:sz w:val="24"/>
                <w:szCs w:val="24"/>
              </w:rPr>
            </w:pPr>
            <w:r w:rsidRPr="00D500F1">
              <w:rPr>
                <w:rFonts w:ascii="Verdana" w:hAnsi="Verdana"/>
                <w:sz w:val="24"/>
                <w:szCs w:val="24"/>
              </w:rPr>
              <w:t>Discount 15.00% (4-3)</w:t>
            </w:r>
          </w:p>
        </w:tc>
        <w:tc>
          <w:tcPr>
            <w:tcW w:w="1344" w:type="pct"/>
          </w:tcPr>
          <w:p w14:paraId="77FF224C" w14:textId="77777777" w:rsidR="006E6BC9" w:rsidRPr="00D500F1" w:rsidRDefault="006E6BC9" w:rsidP="00D500F1">
            <w:pPr>
              <w:pStyle w:val="TableParagraph"/>
              <w:spacing w:before="120" w:after="200" w:line="276" w:lineRule="auto"/>
              <w:ind w:right="97"/>
              <w:jc w:val="right"/>
              <w:rPr>
                <w:rFonts w:ascii="Verdana" w:hAnsi="Verdana"/>
                <w:sz w:val="24"/>
                <w:szCs w:val="24"/>
              </w:rPr>
            </w:pPr>
            <w:r w:rsidRPr="00D500F1">
              <w:rPr>
                <w:rFonts w:ascii="Verdana" w:hAnsi="Verdana"/>
                <w:sz w:val="24"/>
                <w:szCs w:val="24"/>
              </w:rPr>
              <w:t>€30,000</w:t>
            </w:r>
          </w:p>
        </w:tc>
      </w:tr>
    </w:tbl>
    <w:p w14:paraId="427F785F" w14:textId="77777777" w:rsidR="00401BD4" w:rsidRDefault="00401BD4" w:rsidP="00D500F1">
      <w:pPr>
        <w:pStyle w:val="BodyText"/>
        <w:spacing w:before="120" w:after="200" w:line="276" w:lineRule="auto"/>
        <w:ind w:left="400" w:right="559"/>
        <w:jc w:val="both"/>
        <w:rPr>
          <w:rFonts w:ascii="Verdana" w:hAnsi="Verdana"/>
          <w:b/>
          <w:color w:val="212A35"/>
          <w:sz w:val="24"/>
          <w:szCs w:val="24"/>
        </w:rPr>
      </w:pPr>
    </w:p>
    <w:p w14:paraId="7FC18D5D" w14:textId="66EEB2B0" w:rsidR="002314B7" w:rsidRPr="00D500F1" w:rsidRDefault="002314B7" w:rsidP="00D500F1">
      <w:pPr>
        <w:pStyle w:val="BodyText"/>
        <w:spacing w:before="120" w:after="200" w:line="276" w:lineRule="auto"/>
        <w:ind w:left="400" w:right="559"/>
        <w:jc w:val="both"/>
        <w:rPr>
          <w:rFonts w:ascii="Verdana" w:hAnsi="Verdana"/>
          <w:b/>
          <w:color w:val="212A35"/>
          <w:sz w:val="24"/>
          <w:szCs w:val="24"/>
        </w:rPr>
      </w:pPr>
      <w:r w:rsidRPr="00D500F1">
        <w:rPr>
          <w:rFonts w:ascii="Verdana" w:hAnsi="Verdana"/>
          <w:b/>
          <w:color w:val="212A35"/>
          <w:sz w:val="24"/>
          <w:szCs w:val="24"/>
        </w:rPr>
        <w:t>Affordable Purchase (non-</w:t>
      </w:r>
      <w:proofErr w:type="spellStart"/>
      <w:r w:rsidRPr="00D500F1">
        <w:rPr>
          <w:rFonts w:ascii="Verdana" w:hAnsi="Verdana"/>
          <w:b/>
          <w:color w:val="212A35"/>
          <w:sz w:val="24"/>
          <w:szCs w:val="24"/>
        </w:rPr>
        <w:t>AHF</w:t>
      </w:r>
      <w:proofErr w:type="spellEnd"/>
      <w:r w:rsidRPr="00D500F1">
        <w:rPr>
          <w:rFonts w:ascii="Verdana" w:hAnsi="Verdana"/>
          <w:b/>
          <w:color w:val="212A35"/>
          <w:sz w:val="24"/>
          <w:szCs w:val="24"/>
        </w:rPr>
        <w:t>)</w:t>
      </w:r>
    </w:p>
    <w:p w14:paraId="3F591A14" w14:textId="77777777" w:rsidR="002314B7" w:rsidRPr="00D500F1" w:rsidRDefault="002314B7" w:rsidP="00D500F1">
      <w:pPr>
        <w:pStyle w:val="BodyText"/>
        <w:spacing w:before="120" w:after="200" w:line="276" w:lineRule="auto"/>
        <w:ind w:left="400" w:right="559"/>
        <w:jc w:val="both"/>
        <w:rPr>
          <w:rFonts w:ascii="Verdana" w:hAnsi="Verdana"/>
          <w:sz w:val="24"/>
          <w:szCs w:val="24"/>
        </w:rPr>
      </w:pPr>
      <w:r w:rsidRPr="00D500F1">
        <w:rPr>
          <w:rFonts w:ascii="Verdana" w:hAnsi="Verdana"/>
          <w:sz w:val="24"/>
          <w:szCs w:val="24"/>
        </w:rPr>
        <w:t>Where appropriate proposals for affordable or mixed tenure dwellings are received and considered acceptable and access to the AHF is not possible, Tipperary County Council may still consider such proposals where:</w:t>
      </w:r>
    </w:p>
    <w:p w14:paraId="584A3D51" w14:textId="77777777" w:rsidR="002314B7" w:rsidRPr="00D500F1" w:rsidRDefault="002314B7" w:rsidP="00D500F1">
      <w:pPr>
        <w:pStyle w:val="BodyText"/>
        <w:numPr>
          <w:ilvl w:val="0"/>
          <w:numId w:val="4"/>
        </w:numPr>
        <w:spacing w:before="120" w:after="200" w:line="276" w:lineRule="auto"/>
        <w:ind w:right="559"/>
        <w:jc w:val="both"/>
        <w:rPr>
          <w:rFonts w:ascii="Verdana" w:hAnsi="Verdana"/>
          <w:color w:val="212A35"/>
          <w:sz w:val="24"/>
          <w:szCs w:val="24"/>
        </w:rPr>
      </w:pPr>
      <w:r w:rsidRPr="00D500F1">
        <w:rPr>
          <w:rFonts w:ascii="Verdana" w:hAnsi="Verdana"/>
          <w:sz w:val="24"/>
          <w:szCs w:val="24"/>
        </w:rPr>
        <w:t xml:space="preserve">the difference between the market value of that unit </w:t>
      </w:r>
      <w:r w:rsidR="0070725F" w:rsidRPr="00D500F1">
        <w:rPr>
          <w:rFonts w:ascii="Verdana" w:hAnsi="Verdana"/>
          <w:sz w:val="24"/>
          <w:szCs w:val="24"/>
        </w:rPr>
        <w:t>and the proposed maximum purchasing power</w:t>
      </w:r>
      <w:r w:rsidR="0070725F" w:rsidRPr="00D500F1">
        <w:rPr>
          <w:rStyle w:val="FootnoteReference"/>
          <w:rFonts w:ascii="Verdana" w:hAnsi="Verdana"/>
          <w:sz w:val="24"/>
          <w:szCs w:val="24"/>
        </w:rPr>
        <w:footnoteReference w:id="3"/>
      </w:r>
      <w:r w:rsidR="0070725F" w:rsidRPr="00D500F1">
        <w:rPr>
          <w:rFonts w:ascii="Verdana" w:hAnsi="Verdana"/>
          <w:sz w:val="24"/>
          <w:szCs w:val="24"/>
        </w:rPr>
        <w:t xml:space="preserve"> of a typical applicant does not exceed 40%</w:t>
      </w:r>
      <w:r w:rsidR="0070725F" w:rsidRPr="00D500F1">
        <w:rPr>
          <w:rStyle w:val="FootnoteReference"/>
          <w:rFonts w:ascii="Verdana" w:hAnsi="Verdana"/>
          <w:sz w:val="24"/>
          <w:szCs w:val="24"/>
        </w:rPr>
        <w:footnoteReference w:id="4"/>
      </w:r>
    </w:p>
    <w:p w14:paraId="331F3447" w14:textId="77777777" w:rsidR="0070725F" w:rsidRPr="00D500F1" w:rsidRDefault="0070725F" w:rsidP="00D500F1">
      <w:pPr>
        <w:pStyle w:val="BodyText"/>
        <w:numPr>
          <w:ilvl w:val="0"/>
          <w:numId w:val="4"/>
        </w:numPr>
        <w:spacing w:before="120" w:after="200" w:line="276" w:lineRule="auto"/>
        <w:ind w:right="559"/>
        <w:jc w:val="both"/>
        <w:rPr>
          <w:rFonts w:ascii="Verdana" w:hAnsi="Verdana"/>
          <w:color w:val="212A35"/>
          <w:sz w:val="24"/>
          <w:szCs w:val="24"/>
        </w:rPr>
      </w:pPr>
      <w:r w:rsidRPr="00D500F1">
        <w:rPr>
          <w:rFonts w:ascii="Verdana" w:hAnsi="Verdana"/>
          <w:color w:val="212A35"/>
          <w:sz w:val="24"/>
          <w:szCs w:val="24"/>
        </w:rPr>
        <w:t xml:space="preserve">the minimum </w:t>
      </w:r>
      <w:r w:rsidR="00D500F1" w:rsidRPr="00D500F1">
        <w:rPr>
          <w:rFonts w:ascii="Verdana" w:hAnsi="Verdana"/>
          <w:color w:val="212A35"/>
          <w:sz w:val="24"/>
          <w:szCs w:val="24"/>
        </w:rPr>
        <w:t xml:space="preserve">final sale </w:t>
      </w:r>
      <w:r w:rsidRPr="00D500F1">
        <w:rPr>
          <w:rFonts w:ascii="Verdana" w:hAnsi="Verdana"/>
          <w:color w:val="212A35"/>
          <w:sz w:val="24"/>
          <w:szCs w:val="24"/>
        </w:rPr>
        <w:t xml:space="preserve">price per unit </w:t>
      </w:r>
      <w:r w:rsidR="00D500F1" w:rsidRPr="00D500F1">
        <w:rPr>
          <w:rFonts w:ascii="Verdana" w:hAnsi="Verdana"/>
          <w:color w:val="212A35"/>
          <w:sz w:val="24"/>
          <w:szCs w:val="24"/>
        </w:rPr>
        <w:t xml:space="preserve">cannot be less than the gross income of the expected applicant group multiplied by 3.5. </w:t>
      </w:r>
    </w:p>
    <w:p w14:paraId="06011F0C" w14:textId="20A03FE7" w:rsidR="00401BD4" w:rsidRDefault="00401BD4">
      <w:pPr>
        <w:rPr>
          <w:rFonts w:ascii="Verdana" w:hAnsi="Verdana"/>
          <w:b/>
          <w:bCs/>
          <w:sz w:val="24"/>
          <w:szCs w:val="24"/>
        </w:rPr>
      </w:pPr>
    </w:p>
    <w:p w14:paraId="4F255831" w14:textId="3E7768ED" w:rsidR="0070725F" w:rsidRPr="00D500F1" w:rsidRDefault="0070725F" w:rsidP="00D500F1">
      <w:pPr>
        <w:pStyle w:val="Heading1"/>
        <w:spacing w:before="120" w:after="200" w:line="276" w:lineRule="auto"/>
        <w:ind w:left="400" w:firstLine="0"/>
        <w:rPr>
          <w:rFonts w:ascii="Verdana" w:hAnsi="Verdana"/>
          <w:sz w:val="24"/>
          <w:szCs w:val="24"/>
        </w:rPr>
      </w:pPr>
      <w:r w:rsidRPr="00D500F1">
        <w:rPr>
          <w:rFonts w:ascii="Verdana" w:hAnsi="Verdana"/>
          <w:sz w:val="24"/>
          <w:szCs w:val="24"/>
        </w:rPr>
        <w:t xml:space="preserve">Example </w:t>
      </w: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1842"/>
      </w:tblGrid>
      <w:tr w:rsidR="0070725F" w:rsidRPr="00D500F1" w14:paraId="07253A38" w14:textId="77777777" w:rsidTr="00B91D68">
        <w:trPr>
          <w:trHeight w:val="290"/>
        </w:trPr>
        <w:tc>
          <w:tcPr>
            <w:tcW w:w="7247" w:type="dxa"/>
          </w:tcPr>
          <w:p w14:paraId="66B525D1" w14:textId="77777777" w:rsidR="0070725F" w:rsidRPr="00D500F1" w:rsidRDefault="0070725F" w:rsidP="00D500F1">
            <w:pPr>
              <w:pStyle w:val="TableParagraph"/>
              <w:spacing w:before="120" w:after="200" w:line="276" w:lineRule="auto"/>
              <w:ind w:left="107"/>
              <w:rPr>
                <w:rFonts w:ascii="Verdana" w:hAnsi="Verdana"/>
                <w:b/>
                <w:sz w:val="24"/>
                <w:szCs w:val="24"/>
              </w:rPr>
            </w:pPr>
            <w:r w:rsidRPr="00D500F1">
              <w:rPr>
                <w:rFonts w:ascii="Verdana" w:hAnsi="Verdana"/>
                <w:b/>
                <w:sz w:val="24"/>
                <w:szCs w:val="24"/>
              </w:rPr>
              <w:t>Local Authority Affordable Housing</w:t>
            </w:r>
          </w:p>
        </w:tc>
        <w:tc>
          <w:tcPr>
            <w:tcW w:w="1842" w:type="dxa"/>
          </w:tcPr>
          <w:p w14:paraId="4E78B0D8" w14:textId="77777777" w:rsidR="0070725F" w:rsidRPr="00D500F1" w:rsidRDefault="0070725F" w:rsidP="00D500F1">
            <w:pPr>
              <w:pStyle w:val="TableParagraph"/>
              <w:spacing w:before="120" w:after="200" w:line="276" w:lineRule="auto"/>
              <w:rPr>
                <w:rFonts w:ascii="Verdana" w:hAnsi="Verdana"/>
                <w:sz w:val="24"/>
                <w:szCs w:val="24"/>
              </w:rPr>
            </w:pPr>
          </w:p>
        </w:tc>
      </w:tr>
      <w:tr w:rsidR="0070725F" w:rsidRPr="00D500F1" w14:paraId="02C09D9C" w14:textId="77777777" w:rsidTr="00B91D68">
        <w:trPr>
          <w:trHeight w:val="292"/>
        </w:trPr>
        <w:tc>
          <w:tcPr>
            <w:tcW w:w="7247" w:type="dxa"/>
          </w:tcPr>
          <w:p w14:paraId="3A373176" w14:textId="77777777" w:rsidR="0070725F" w:rsidRPr="00D500F1" w:rsidRDefault="0070725F"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Cost of Provision (all-in costs)</w:t>
            </w:r>
            <w:r w:rsidRPr="00D500F1">
              <w:rPr>
                <w:rStyle w:val="FootnoteReference"/>
                <w:rFonts w:ascii="Verdana" w:hAnsi="Verdana"/>
                <w:sz w:val="24"/>
                <w:szCs w:val="24"/>
              </w:rPr>
              <w:footnoteReference w:id="5"/>
            </w:r>
          </w:p>
        </w:tc>
        <w:tc>
          <w:tcPr>
            <w:tcW w:w="1842" w:type="dxa"/>
          </w:tcPr>
          <w:p w14:paraId="727161C4" w14:textId="77777777" w:rsidR="0070725F" w:rsidRPr="00D500F1" w:rsidRDefault="0070725F"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w:t>
            </w:r>
            <w:r w:rsidR="00585281" w:rsidRPr="00D500F1">
              <w:rPr>
                <w:rFonts w:ascii="Verdana" w:hAnsi="Verdana"/>
                <w:sz w:val="24"/>
                <w:szCs w:val="24"/>
              </w:rPr>
              <w:t>250,000</w:t>
            </w:r>
          </w:p>
        </w:tc>
      </w:tr>
      <w:tr w:rsidR="0070725F" w:rsidRPr="00D500F1" w14:paraId="4AE50DC5" w14:textId="77777777" w:rsidTr="00B91D68">
        <w:trPr>
          <w:trHeight w:val="290"/>
        </w:trPr>
        <w:tc>
          <w:tcPr>
            <w:tcW w:w="7247" w:type="dxa"/>
          </w:tcPr>
          <w:p w14:paraId="326B1176" w14:textId="77777777" w:rsidR="0070725F" w:rsidRPr="00D500F1" w:rsidRDefault="00585281"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Difference to be covered by equity stake</w:t>
            </w:r>
          </w:p>
        </w:tc>
        <w:tc>
          <w:tcPr>
            <w:tcW w:w="1842" w:type="dxa"/>
          </w:tcPr>
          <w:p w14:paraId="5089A0A7" w14:textId="77777777" w:rsidR="0070725F" w:rsidRPr="00D500F1" w:rsidRDefault="0070725F" w:rsidP="00D500F1">
            <w:pPr>
              <w:pStyle w:val="TableParagraph"/>
              <w:spacing w:before="120" w:after="200" w:line="276" w:lineRule="auto"/>
              <w:ind w:right="97"/>
              <w:jc w:val="right"/>
              <w:rPr>
                <w:rFonts w:ascii="Verdana" w:hAnsi="Verdana"/>
                <w:sz w:val="24"/>
                <w:szCs w:val="24"/>
              </w:rPr>
            </w:pPr>
            <w:r w:rsidRPr="00D500F1">
              <w:rPr>
                <w:rFonts w:ascii="Verdana" w:hAnsi="Verdana"/>
                <w:sz w:val="24"/>
                <w:szCs w:val="24"/>
              </w:rPr>
              <w:t>€</w:t>
            </w:r>
            <w:r w:rsidR="00585281" w:rsidRPr="00D500F1">
              <w:rPr>
                <w:rFonts w:ascii="Verdana" w:hAnsi="Verdana"/>
                <w:sz w:val="24"/>
                <w:szCs w:val="24"/>
              </w:rPr>
              <w:t>60,000</w:t>
            </w:r>
          </w:p>
        </w:tc>
      </w:tr>
      <w:tr w:rsidR="0070725F" w:rsidRPr="00D500F1" w14:paraId="7FF54206" w14:textId="77777777" w:rsidTr="00B91D68">
        <w:trPr>
          <w:trHeight w:val="290"/>
        </w:trPr>
        <w:tc>
          <w:tcPr>
            <w:tcW w:w="7247" w:type="dxa"/>
          </w:tcPr>
          <w:p w14:paraId="504E1602" w14:textId="77777777" w:rsidR="0070725F" w:rsidRPr="00D500F1" w:rsidRDefault="0070725F"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lastRenderedPageBreak/>
              <w:t>Purchasing power of applicant (3.5 times wages)</w:t>
            </w:r>
          </w:p>
        </w:tc>
        <w:tc>
          <w:tcPr>
            <w:tcW w:w="1842" w:type="dxa"/>
          </w:tcPr>
          <w:p w14:paraId="5EAF2397" w14:textId="77777777" w:rsidR="0070725F" w:rsidRPr="00D500F1" w:rsidRDefault="0070725F"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w:t>
            </w:r>
            <w:r w:rsidR="00585281" w:rsidRPr="00D500F1">
              <w:rPr>
                <w:rFonts w:ascii="Verdana" w:hAnsi="Verdana"/>
                <w:sz w:val="24"/>
                <w:szCs w:val="24"/>
              </w:rPr>
              <w:t>190,000</w:t>
            </w:r>
          </w:p>
        </w:tc>
      </w:tr>
      <w:tr w:rsidR="0070725F" w:rsidRPr="00D500F1" w14:paraId="017C905C" w14:textId="77777777" w:rsidTr="00B91D68">
        <w:trPr>
          <w:trHeight w:val="292"/>
        </w:trPr>
        <w:tc>
          <w:tcPr>
            <w:tcW w:w="7247" w:type="dxa"/>
          </w:tcPr>
          <w:p w14:paraId="7EF2EF24" w14:textId="77777777" w:rsidR="0070725F" w:rsidRPr="00D500F1" w:rsidRDefault="0070725F"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Open market value</w:t>
            </w:r>
          </w:p>
        </w:tc>
        <w:tc>
          <w:tcPr>
            <w:tcW w:w="1842" w:type="dxa"/>
          </w:tcPr>
          <w:p w14:paraId="48CD27CC" w14:textId="77777777" w:rsidR="0070725F" w:rsidRPr="00D500F1" w:rsidRDefault="0070725F" w:rsidP="00D500F1">
            <w:pPr>
              <w:pStyle w:val="TableParagraph"/>
              <w:spacing w:before="120" w:after="200" w:line="276" w:lineRule="auto"/>
              <w:ind w:right="96"/>
              <w:jc w:val="right"/>
              <w:rPr>
                <w:rFonts w:ascii="Verdana" w:hAnsi="Verdana"/>
                <w:sz w:val="24"/>
                <w:szCs w:val="24"/>
              </w:rPr>
            </w:pPr>
            <w:r w:rsidRPr="00D500F1">
              <w:rPr>
                <w:rFonts w:ascii="Verdana" w:hAnsi="Verdana"/>
                <w:sz w:val="24"/>
                <w:szCs w:val="24"/>
              </w:rPr>
              <w:t>€</w:t>
            </w:r>
            <w:r w:rsidR="00585281" w:rsidRPr="00D500F1">
              <w:rPr>
                <w:rFonts w:ascii="Verdana" w:hAnsi="Verdana"/>
                <w:sz w:val="24"/>
                <w:szCs w:val="24"/>
              </w:rPr>
              <w:t>260,000</w:t>
            </w:r>
          </w:p>
        </w:tc>
      </w:tr>
      <w:tr w:rsidR="0070725F" w:rsidRPr="00D500F1" w14:paraId="5F978001" w14:textId="77777777" w:rsidTr="00B91D68">
        <w:trPr>
          <w:trHeight w:val="290"/>
        </w:trPr>
        <w:tc>
          <w:tcPr>
            <w:tcW w:w="7247" w:type="dxa"/>
          </w:tcPr>
          <w:p w14:paraId="22BAC555" w14:textId="77777777" w:rsidR="0070725F" w:rsidRPr="00D500F1" w:rsidRDefault="00585281" w:rsidP="00D500F1">
            <w:pPr>
              <w:pStyle w:val="TableParagraph"/>
              <w:spacing w:before="120" w:after="200" w:line="276" w:lineRule="auto"/>
              <w:ind w:left="107"/>
              <w:rPr>
                <w:rFonts w:ascii="Verdana" w:hAnsi="Verdana"/>
                <w:b/>
                <w:sz w:val="24"/>
                <w:szCs w:val="24"/>
              </w:rPr>
            </w:pPr>
            <w:r w:rsidRPr="00D500F1">
              <w:rPr>
                <w:rFonts w:ascii="Verdana" w:hAnsi="Verdana"/>
                <w:b/>
                <w:sz w:val="24"/>
                <w:szCs w:val="24"/>
              </w:rPr>
              <w:t>Equity percentage</w:t>
            </w:r>
            <w:r w:rsidR="0070725F" w:rsidRPr="00D500F1">
              <w:rPr>
                <w:rFonts w:ascii="Verdana" w:hAnsi="Verdana"/>
                <w:b/>
                <w:sz w:val="24"/>
                <w:szCs w:val="24"/>
              </w:rPr>
              <w:t xml:space="preserve"> </w:t>
            </w:r>
          </w:p>
        </w:tc>
        <w:tc>
          <w:tcPr>
            <w:tcW w:w="1842" w:type="dxa"/>
          </w:tcPr>
          <w:p w14:paraId="72311249" w14:textId="77777777" w:rsidR="0070725F" w:rsidRPr="00D500F1" w:rsidRDefault="00585281" w:rsidP="00D500F1">
            <w:pPr>
              <w:pStyle w:val="TableParagraph"/>
              <w:spacing w:before="120" w:after="200" w:line="276" w:lineRule="auto"/>
              <w:ind w:right="97"/>
              <w:jc w:val="right"/>
              <w:rPr>
                <w:rFonts w:ascii="Verdana" w:hAnsi="Verdana"/>
                <w:b/>
                <w:sz w:val="24"/>
                <w:szCs w:val="24"/>
              </w:rPr>
            </w:pPr>
            <w:r w:rsidRPr="00D500F1">
              <w:rPr>
                <w:rFonts w:ascii="Verdana" w:hAnsi="Verdana"/>
                <w:b/>
                <w:sz w:val="24"/>
                <w:szCs w:val="24"/>
              </w:rPr>
              <w:t>23%</w:t>
            </w:r>
          </w:p>
        </w:tc>
      </w:tr>
    </w:tbl>
    <w:p w14:paraId="521683CC" w14:textId="77777777" w:rsidR="002314B7" w:rsidRPr="00D500F1" w:rsidRDefault="002314B7" w:rsidP="00D500F1">
      <w:pPr>
        <w:pStyle w:val="BodyText"/>
        <w:spacing w:before="120" w:after="200" w:line="276" w:lineRule="auto"/>
        <w:ind w:left="400" w:right="559"/>
        <w:jc w:val="both"/>
        <w:rPr>
          <w:rFonts w:ascii="Verdana" w:hAnsi="Verdana"/>
          <w:color w:val="212A35"/>
          <w:sz w:val="24"/>
          <w:szCs w:val="24"/>
        </w:rPr>
      </w:pPr>
    </w:p>
    <w:p w14:paraId="44CB165B" w14:textId="77777777" w:rsidR="00F60A68" w:rsidRPr="00D500F1" w:rsidRDefault="00D81505" w:rsidP="00D500F1">
      <w:pPr>
        <w:pStyle w:val="BodyText"/>
        <w:spacing w:before="120" w:after="200" w:line="276" w:lineRule="auto"/>
        <w:ind w:left="400" w:right="559"/>
        <w:jc w:val="both"/>
        <w:rPr>
          <w:rFonts w:ascii="Verdana" w:hAnsi="Verdana"/>
          <w:b/>
          <w:sz w:val="24"/>
          <w:szCs w:val="24"/>
        </w:rPr>
      </w:pPr>
      <w:r w:rsidRPr="00D500F1">
        <w:rPr>
          <w:rFonts w:ascii="Verdana" w:hAnsi="Verdana"/>
          <w:b/>
          <w:color w:val="212A35"/>
          <w:sz w:val="24"/>
          <w:szCs w:val="24"/>
        </w:rPr>
        <w:t>Cost Rental</w:t>
      </w:r>
    </w:p>
    <w:p w14:paraId="3E257474" w14:textId="77777777" w:rsidR="00F60A68" w:rsidRPr="00D500F1" w:rsidRDefault="00D81505" w:rsidP="00D500F1">
      <w:pPr>
        <w:pStyle w:val="BodyText"/>
        <w:spacing w:before="120" w:after="200" w:line="276" w:lineRule="auto"/>
        <w:ind w:left="400" w:right="577"/>
        <w:rPr>
          <w:rFonts w:ascii="Verdana" w:hAnsi="Verdana"/>
          <w:sz w:val="24"/>
          <w:szCs w:val="24"/>
        </w:rPr>
      </w:pPr>
      <w:r w:rsidRPr="00D500F1">
        <w:rPr>
          <w:rFonts w:ascii="Verdana" w:hAnsi="Verdana"/>
          <w:sz w:val="24"/>
          <w:szCs w:val="24"/>
        </w:rPr>
        <w:t>Cost Rental is a new form of housing tenure in Ireland. Cost rental offers a long-term, secure tenancy with rents based on the cost of housing provision</w:t>
      </w:r>
      <w:r w:rsidR="00585281" w:rsidRPr="00D500F1">
        <w:rPr>
          <w:rStyle w:val="FootnoteReference"/>
          <w:rFonts w:ascii="Verdana" w:hAnsi="Verdana"/>
          <w:sz w:val="24"/>
          <w:szCs w:val="24"/>
        </w:rPr>
        <w:footnoteReference w:id="6"/>
      </w:r>
      <w:r w:rsidRPr="00D500F1">
        <w:rPr>
          <w:rFonts w:ascii="Verdana" w:hAnsi="Verdana"/>
          <w:sz w:val="24"/>
          <w:szCs w:val="24"/>
        </w:rPr>
        <w:t>. Cost rental homes must achieve a reduction of at least 25% on open market rental values. Any properties being</w:t>
      </w:r>
      <w:r w:rsidRPr="00D500F1">
        <w:rPr>
          <w:rFonts w:ascii="Verdana" w:hAnsi="Verdana"/>
          <w:spacing w:val="-16"/>
          <w:sz w:val="24"/>
          <w:szCs w:val="24"/>
        </w:rPr>
        <w:t xml:space="preserve"> </w:t>
      </w:r>
      <w:r w:rsidRPr="00D500F1">
        <w:rPr>
          <w:rFonts w:ascii="Verdana" w:hAnsi="Verdana"/>
          <w:sz w:val="24"/>
          <w:szCs w:val="24"/>
        </w:rPr>
        <w:t>considered</w:t>
      </w:r>
      <w:r w:rsidR="00EC1468" w:rsidRPr="00D500F1">
        <w:rPr>
          <w:rFonts w:ascii="Verdana" w:hAnsi="Verdana"/>
          <w:sz w:val="24"/>
          <w:szCs w:val="24"/>
        </w:rPr>
        <w:t xml:space="preserve"> </w:t>
      </w:r>
      <w:r w:rsidRPr="00D500F1">
        <w:rPr>
          <w:rFonts w:ascii="Verdana" w:hAnsi="Verdana"/>
          <w:sz w:val="24"/>
          <w:szCs w:val="24"/>
        </w:rPr>
        <w:t>by the Council under this call for the new cost rental tenure arrangements will need to ultimately deliver a minimum of 25% discount on open market rents.</w:t>
      </w:r>
    </w:p>
    <w:p w14:paraId="3DF16659" w14:textId="77777777" w:rsidR="00F60A68" w:rsidRPr="00D500F1" w:rsidRDefault="00D81505" w:rsidP="00D500F1">
      <w:pPr>
        <w:pStyle w:val="Heading1"/>
        <w:numPr>
          <w:ilvl w:val="1"/>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4B6280"/>
          <w:sz w:val="24"/>
          <w:szCs w:val="24"/>
        </w:rPr>
        <w:t>Background</w:t>
      </w:r>
      <w:r w:rsidRPr="00D500F1">
        <w:rPr>
          <w:rFonts w:ascii="Verdana" w:hAnsi="Verdana"/>
          <w:color w:val="4B6280"/>
          <w:spacing w:val="-1"/>
          <w:sz w:val="24"/>
          <w:szCs w:val="24"/>
        </w:rPr>
        <w:t xml:space="preserve"> </w:t>
      </w:r>
      <w:r w:rsidRPr="00D500F1">
        <w:rPr>
          <w:rFonts w:ascii="Verdana" w:hAnsi="Verdana"/>
          <w:color w:val="4B6280"/>
          <w:sz w:val="24"/>
          <w:szCs w:val="24"/>
        </w:rPr>
        <w:t>information</w:t>
      </w:r>
    </w:p>
    <w:p w14:paraId="70F046DC" w14:textId="77777777" w:rsidR="00F60A68" w:rsidRPr="00D500F1" w:rsidRDefault="00D81505" w:rsidP="00D500F1">
      <w:pPr>
        <w:pStyle w:val="Heading1"/>
        <w:numPr>
          <w:ilvl w:val="2"/>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212A35"/>
          <w:sz w:val="24"/>
          <w:szCs w:val="24"/>
        </w:rPr>
        <w:t>Areas of</w:t>
      </w:r>
      <w:r w:rsidRPr="00D500F1">
        <w:rPr>
          <w:rFonts w:ascii="Verdana" w:hAnsi="Verdana"/>
          <w:color w:val="212A35"/>
          <w:spacing w:val="1"/>
          <w:sz w:val="24"/>
          <w:szCs w:val="24"/>
        </w:rPr>
        <w:t xml:space="preserve"> </w:t>
      </w:r>
      <w:r w:rsidRPr="00D500F1">
        <w:rPr>
          <w:rFonts w:ascii="Verdana" w:hAnsi="Verdana"/>
          <w:color w:val="212A35"/>
          <w:sz w:val="24"/>
          <w:szCs w:val="24"/>
        </w:rPr>
        <w:t>Need</w:t>
      </w:r>
    </w:p>
    <w:p w14:paraId="4CDB60A7" w14:textId="77777777" w:rsidR="00F60A68" w:rsidRPr="00D500F1" w:rsidRDefault="00D81505" w:rsidP="00D500F1">
      <w:pPr>
        <w:pStyle w:val="BodyText"/>
        <w:spacing w:before="120" w:after="200" w:line="276" w:lineRule="auto"/>
        <w:ind w:left="400" w:right="606"/>
        <w:rPr>
          <w:rFonts w:ascii="Verdana" w:hAnsi="Verdana"/>
          <w:sz w:val="24"/>
          <w:szCs w:val="24"/>
        </w:rPr>
      </w:pPr>
      <w:r w:rsidRPr="00D500F1">
        <w:rPr>
          <w:rFonts w:ascii="Verdana" w:hAnsi="Verdana"/>
          <w:sz w:val="24"/>
          <w:szCs w:val="24"/>
        </w:rPr>
        <w:t xml:space="preserve">Proposals are invited for the advance purchase of turnkey properties for affordable, social or mixed tenure housing within the </w:t>
      </w:r>
      <w:r w:rsidR="00D500F1" w:rsidRPr="00D500F1">
        <w:rPr>
          <w:rFonts w:ascii="Verdana" w:hAnsi="Verdana"/>
          <w:sz w:val="24"/>
          <w:szCs w:val="24"/>
        </w:rPr>
        <w:t>administrative</w:t>
      </w:r>
      <w:r w:rsidRPr="00D500F1">
        <w:rPr>
          <w:rFonts w:ascii="Verdana" w:hAnsi="Verdana"/>
          <w:sz w:val="24"/>
          <w:szCs w:val="24"/>
        </w:rPr>
        <w:t xml:space="preserve"> area of </w:t>
      </w:r>
      <w:r w:rsidR="00EC1468" w:rsidRPr="00D500F1">
        <w:rPr>
          <w:rFonts w:ascii="Verdana" w:hAnsi="Verdana"/>
          <w:sz w:val="24"/>
          <w:szCs w:val="24"/>
        </w:rPr>
        <w:t>Tipperary County Council</w:t>
      </w:r>
      <w:r w:rsidRPr="00D500F1">
        <w:rPr>
          <w:rFonts w:ascii="Verdana" w:hAnsi="Verdana"/>
          <w:sz w:val="24"/>
          <w:szCs w:val="24"/>
        </w:rPr>
        <w:t>.</w:t>
      </w:r>
    </w:p>
    <w:p w14:paraId="1717D4E4" w14:textId="27BC0C8A" w:rsidR="00F60A68" w:rsidRDefault="00D81505" w:rsidP="00D500F1">
      <w:pPr>
        <w:pStyle w:val="BodyText"/>
        <w:spacing w:before="120" w:after="200" w:line="276" w:lineRule="auto"/>
        <w:ind w:left="400" w:right="801"/>
        <w:rPr>
          <w:rFonts w:ascii="Verdana" w:hAnsi="Verdana"/>
          <w:sz w:val="24"/>
          <w:szCs w:val="24"/>
        </w:rPr>
      </w:pPr>
      <w:r w:rsidRPr="00D500F1">
        <w:rPr>
          <w:rFonts w:ascii="Verdana" w:hAnsi="Verdana"/>
          <w:sz w:val="24"/>
          <w:szCs w:val="24"/>
        </w:rPr>
        <w:t>The Council is interested in proposals in all locations and has a particular need for one and two bed properties.</w:t>
      </w:r>
    </w:p>
    <w:p w14:paraId="7439CDF1" w14:textId="689E7F26" w:rsidR="00401BD4" w:rsidRDefault="00401BD4">
      <w:pPr>
        <w:rPr>
          <w:rFonts w:ascii="Verdana" w:hAnsi="Verdana"/>
          <w:sz w:val="24"/>
          <w:szCs w:val="24"/>
        </w:rPr>
      </w:pPr>
      <w:r>
        <w:rPr>
          <w:rFonts w:ascii="Verdana" w:hAnsi="Verdana"/>
          <w:sz w:val="24"/>
          <w:szCs w:val="24"/>
        </w:rPr>
        <w:br w:type="page"/>
      </w:r>
    </w:p>
    <w:p w14:paraId="084EE9BA" w14:textId="77777777" w:rsidR="00F60A68" w:rsidRPr="00D500F1" w:rsidRDefault="00D81505" w:rsidP="00D500F1">
      <w:pPr>
        <w:pStyle w:val="Heading1"/>
        <w:numPr>
          <w:ilvl w:val="2"/>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212A35"/>
          <w:sz w:val="24"/>
          <w:szCs w:val="24"/>
        </w:rPr>
        <w:lastRenderedPageBreak/>
        <w:t>Proximity to</w:t>
      </w:r>
      <w:r w:rsidRPr="00D500F1">
        <w:rPr>
          <w:rFonts w:ascii="Verdana" w:hAnsi="Verdana"/>
          <w:color w:val="212A35"/>
          <w:spacing w:val="-5"/>
          <w:sz w:val="24"/>
          <w:szCs w:val="24"/>
        </w:rPr>
        <w:t xml:space="preserve"> </w:t>
      </w:r>
      <w:r w:rsidRPr="00D500F1">
        <w:rPr>
          <w:rFonts w:ascii="Verdana" w:hAnsi="Verdana"/>
          <w:color w:val="212A35"/>
          <w:sz w:val="24"/>
          <w:szCs w:val="24"/>
        </w:rPr>
        <w:t>Services/Amenities</w:t>
      </w:r>
    </w:p>
    <w:p w14:paraId="56692F34" w14:textId="77777777" w:rsidR="00F60A68" w:rsidRPr="00D500F1" w:rsidRDefault="00D81505" w:rsidP="00D500F1">
      <w:pPr>
        <w:pStyle w:val="BodyText"/>
        <w:spacing w:before="120" w:after="200" w:line="276" w:lineRule="auto"/>
        <w:ind w:left="400" w:right="667"/>
        <w:rPr>
          <w:rFonts w:ascii="Verdana" w:hAnsi="Verdana"/>
          <w:sz w:val="24"/>
          <w:szCs w:val="24"/>
        </w:rPr>
      </w:pPr>
      <w:r w:rsidRPr="00D500F1">
        <w:rPr>
          <w:rFonts w:ascii="Verdana" w:hAnsi="Verdana"/>
          <w:sz w:val="24"/>
          <w:szCs w:val="24"/>
        </w:rPr>
        <w:t>Ideally, proposals should be well located within or very close to town/village boundaries and be within walking distance of primary services such as school, shop, community facility etc.</w:t>
      </w:r>
    </w:p>
    <w:p w14:paraId="1C44C54B" w14:textId="77777777" w:rsidR="00F60A68" w:rsidRPr="00D500F1" w:rsidRDefault="00D81505" w:rsidP="00D500F1">
      <w:pPr>
        <w:pStyle w:val="BodyText"/>
        <w:spacing w:before="120" w:after="200" w:line="276" w:lineRule="auto"/>
        <w:ind w:left="400" w:right="667"/>
        <w:rPr>
          <w:rFonts w:ascii="Verdana" w:hAnsi="Verdana"/>
          <w:sz w:val="24"/>
          <w:szCs w:val="24"/>
        </w:rPr>
      </w:pPr>
      <w:r w:rsidRPr="00D500F1">
        <w:rPr>
          <w:rFonts w:ascii="Verdana" w:hAnsi="Verdana"/>
          <w:sz w:val="24"/>
          <w:szCs w:val="24"/>
        </w:rPr>
        <w:t xml:space="preserve">Where a zoning map for the area has been adopted by </w:t>
      </w:r>
      <w:r w:rsidR="0012661B" w:rsidRPr="00D500F1">
        <w:rPr>
          <w:rFonts w:ascii="Verdana" w:hAnsi="Verdana"/>
          <w:sz w:val="24"/>
          <w:szCs w:val="24"/>
        </w:rPr>
        <w:t>Tipperary County Council</w:t>
      </w:r>
      <w:r w:rsidRPr="00D500F1">
        <w:rPr>
          <w:rFonts w:ascii="Verdana" w:hAnsi="Verdana"/>
          <w:sz w:val="24"/>
          <w:szCs w:val="24"/>
        </w:rPr>
        <w:t>, the zoning of the site in the relevant Local Area/County Development Plan must be compatible with residential development.</w:t>
      </w:r>
    </w:p>
    <w:p w14:paraId="15519B33" w14:textId="77777777" w:rsidR="00F60A68" w:rsidRPr="00D500F1" w:rsidRDefault="00D81505" w:rsidP="00D500F1">
      <w:pPr>
        <w:pStyle w:val="Heading1"/>
        <w:numPr>
          <w:ilvl w:val="1"/>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4B6280"/>
          <w:sz w:val="24"/>
          <w:szCs w:val="24"/>
        </w:rPr>
        <w:t>Submission</w:t>
      </w:r>
      <w:r w:rsidRPr="00D500F1">
        <w:rPr>
          <w:rFonts w:ascii="Verdana" w:hAnsi="Verdana"/>
          <w:color w:val="4B6280"/>
          <w:spacing w:val="-3"/>
          <w:sz w:val="24"/>
          <w:szCs w:val="24"/>
        </w:rPr>
        <w:t xml:space="preserve"> </w:t>
      </w:r>
      <w:r w:rsidRPr="00D500F1">
        <w:rPr>
          <w:rFonts w:ascii="Verdana" w:hAnsi="Verdana"/>
          <w:color w:val="4B6280"/>
          <w:sz w:val="24"/>
          <w:szCs w:val="24"/>
        </w:rPr>
        <w:t>Process</w:t>
      </w:r>
    </w:p>
    <w:p w14:paraId="76BBBBE8" w14:textId="77777777" w:rsidR="00F60A68" w:rsidRPr="00D500F1" w:rsidRDefault="00D81505" w:rsidP="00D500F1">
      <w:pPr>
        <w:pStyle w:val="BodyText"/>
        <w:spacing w:before="120" w:after="200" w:line="276" w:lineRule="auto"/>
        <w:ind w:left="400"/>
        <w:rPr>
          <w:rFonts w:ascii="Verdana" w:hAnsi="Verdana"/>
          <w:sz w:val="24"/>
          <w:szCs w:val="24"/>
        </w:rPr>
      </w:pPr>
      <w:r w:rsidRPr="00D500F1">
        <w:rPr>
          <w:rFonts w:ascii="Verdana" w:hAnsi="Verdana"/>
          <w:sz w:val="24"/>
          <w:szCs w:val="24"/>
        </w:rPr>
        <w:t>A two-stage process will be used.</w:t>
      </w:r>
    </w:p>
    <w:p w14:paraId="1B249EF5" w14:textId="77777777" w:rsidR="00F60A68" w:rsidRPr="00D500F1" w:rsidRDefault="00D81505" w:rsidP="00D500F1">
      <w:pPr>
        <w:pStyle w:val="Heading1"/>
        <w:spacing w:before="120" w:after="200" w:line="276" w:lineRule="auto"/>
        <w:ind w:left="400" w:right="610" w:firstLine="0"/>
        <w:rPr>
          <w:rFonts w:ascii="Verdana" w:hAnsi="Verdana"/>
          <w:sz w:val="24"/>
          <w:szCs w:val="24"/>
        </w:rPr>
      </w:pPr>
      <w:r w:rsidRPr="00D500F1">
        <w:rPr>
          <w:rFonts w:ascii="Verdana" w:hAnsi="Verdana"/>
          <w:sz w:val="24"/>
          <w:szCs w:val="24"/>
        </w:rPr>
        <w:t>In the Stage 1 submission, information in relation to the proposed site location will be sought. (See Expressions of Interest Form for further details).</w:t>
      </w:r>
    </w:p>
    <w:p w14:paraId="66F2D13A" w14:textId="77777777" w:rsidR="00F60A68" w:rsidRPr="00D500F1" w:rsidRDefault="00D81505" w:rsidP="00D500F1">
      <w:pPr>
        <w:pStyle w:val="BodyText"/>
        <w:spacing w:before="120" w:after="200" w:line="276" w:lineRule="auto"/>
        <w:ind w:left="400" w:right="657"/>
        <w:jc w:val="both"/>
        <w:rPr>
          <w:rFonts w:ascii="Verdana" w:hAnsi="Verdana"/>
          <w:sz w:val="24"/>
          <w:szCs w:val="24"/>
        </w:rPr>
      </w:pPr>
      <w:r w:rsidRPr="00D500F1">
        <w:rPr>
          <w:rFonts w:ascii="Verdana" w:hAnsi="Verdana"/>
          <w:sz w:val="24"/>
          <w:szCs w:val="24"/>
        </w:rPr>
        <w:t xml:space="preserve">Only those submissions which are deemed acceptable to </w:t>
      </w:r>
      <w:r w:rsidR="0012661B" w:rsidRPr="00D500F1">
        <w:rPr>
          <w:rFonts w:ascii="Verdana" w:hAnsi="Verdana"/>
          <w:sz w:val="24"/>
          <w:szCs w:val="24"/>
        </w:rPr>
        <w:t xml:space="preserve">Tipperary County Council </w:t>
      </w:r>
      <w:r w:rsidRPr="00D500F1">
        <w:rPr>
          <w:rFonts w:ascii="Verdana" w:hAnsi="Verdana"/>
          <w:sz w:val="24"/>
          <w:szCs w:val="24"/>
        </w:rPr>
        <w:t>following evaluation of Stage 1 submissions will progress to the Stage 2 submission and evaluation process</w:t>
      </w:r>
    </w:p>
    <w:p w14:paraId="0C518F11" w14:textId="77777777" w:rsidR="00F60A68" w:rsidRPr="00D500F1" w:rsidRDefault="00D81505" w:rsidP="00D500F1">
      <w:pPr>
        <w:pStyle w:val="Heading1"/>
        <w:numPr>
          <w:ilvl w:val="2"/>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212A35"/>
          <w:sz w:val="24"/>
          <w:szCs w:val="24"/>
        </w:rPr>
        <w:t>Stage 1 Submission</w:t>
      </w:r>
    </w:p>
    <w:p w14:paraId="2FEA2F5B" w14:textId="77777777" w:rsidR="00F60A68" w:rsidRPr="00D500F1" w:rsidRDefault="00D81505" w:rsidP="00D500F1">
      <w:pPr>
        <w:pStyle w:val="BodyText"/>
        <w:spacing w:before="120" w:after="200" w:line="276" w:lineRule="auto"/>
        <w:ind w:left="400"/>
        <w:jc w:val="both"/>
        <w:rPr>
          <w:rFonts w:ascii="Verdana" w:hAnsi="Verdana"/>
          <w:sz w:val="24"/>
          <w:szCs w:val="24"/>
        </w:rPr>
      </w:pPr>
      <w:r w:rsidRPr="00D500F1">
        <w:rPr>
          <w:rFonts w:ascii="Verdana" w:hAnsi="Verdana"/>
          <w:sz w:val="24"/>
          <w:szCs w:val="24"/>
        </w:rPr>
        <w:t>At Stage 1, the following information must be submitted:</w:t>
      </w:r>
    </w:p>
    <w:p w14:paraId="46278808"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801"/>
        <w:rPr>
          <w:rFonts w:ascii="Verdana" w:hAnsi="Verdana"/>
          <w:sz w:val="24"/>
          <w:szCs w:val="24"/>
        </w:rPr>
      </w:pPr>
      <w:r w:rsidRPr="00D500F1">
        <w:rPr>
          <w:rFonts w:ascii="Verdana" w:hAnsi="Verdana"/>
          <w:sz w:val="24"/>
          <w:szCs w:val="24"/>
        </w:rPr>
        <w:t>Details of individual or company submitting the proposal, including a contact name, address, number and</w:t>
      </w:r>
      <w:r w:rsidRPr="00D500F1">
        <w:rPr>
          <w:rFonts w:ascii="Verdana" w:hAnsi="Verdana"/>
          <w:spacing w:val="-3"/>
          <w:sz w:val="24"/>
          <w:szCs w:val="24"/>
        </w:rPr>
        <w:t xml:space="preserve"> </w:t>
      </w:r>
      <w:r w:rsidRPr="00D500F1">
        <w:rPr>
          <w:rFonts w:ascii="Verdana" w:hAnsi="Verdana"/>
          <w:sz w:val="24"/>
          <w:szCs w:val="24"/>
        </w:rPr>
        <w:t>email</w:t>
      </w:r>
    </w:p>
    <w:p w14:paraId="759A69CE"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852"/>
        <w:rPr>
          <w:rFonts w:ascii="Verdana" w:hAnsi="Verdana"/>
          <w:sz w:val="24"/>
          <w:szCs w:val="24"/>
        </w:rPr>
      </w:pPr>
      <w:r w:rsidRPr="00D500F1">
        <w:rPr>
          <w:rFonts w:ascii="Verdana" w:hAnsi="Verdana"/>
          <w:sz w:val="24"/>
          <w:szCs w:val="24"/>
        </w:rPr>
        <w:t>Site details, (planning reference number, Irish Water reference number, residential density)</w:t>
      </w:r>
    </w:p>
    <w:p w14:paraId="3FD9E7F1"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Details of planned</w:t>
      </w:r>
      <w:r w:rsidRPr="00D500F1">
        <w:rPr>
          <w:rFonts w:ascii="Verdana" w:hAnsi="Verdana"/>
          <w:spacing w:val="3"/>
          <w:sz w:val="24"/>
          <w:szCs w:val="24"/>
        </w:rPr>
        <w:t xml:space="preserve"> </w:t>
      </w:r>
      <w:r w:rsidRPr="00D500F1">
        <w:rPr>
          <w:rFonts w:ascii="Verdana" w:hAnsi="Verdana"/>
          <w:sz w:val="24"/>
          <w:szCs w:val="24"/>
        </w:rPr>
        <w:t>development</w:t>
      </w:r>
    </w:p>
    <w:p w14:paraId="25A3D5CE"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Indicative all-in costs pricing</w:t>
      </w:r>
      <w:r w:rsidRPr="00D500F1">
        <w:rPr>
          <w:rFonts w:ascii="Verdana" w:hAnsi="Verdana"/>
          <w:spacing w:val="1"/>
          <w:sz w:val="24"/>
          <w:szCs w:val="24"/>
        </w:rPr>
        <w:t xml:space="preserve"> </w:t>
      </w:r>
      <w:r w:rsidRPr="00D500F1">
        <w:rPr>
          <w:rFonts w:ascii="Verdana" w:hAnsi="Verdana"/>
          <w:sz w:val="24"/>
          <w:szCs w:val="24"/>
        </w:rPr>
        <w:t>schedule</w:t>
      </w:r>
      <w:r w:rsidRPr="00D500F1">
        <w:rPr>
          <w:rStyle w:val="FootnoteReference"/>
          <w:rFonts w:ascii="Verdana" w:hAnsi="Verdana"/>
          <w:sz w:val="24"/>
          <w:szCs w:val="24"/>
        </w:rPr>
        <w:footnoteReference w:id="7"/>
      </w:r>
    </w:p>
    <w:p w14:paraId="194DFDBB" w14:textId="1E001BDA" w:rsidR="00F60A68" w:rsidRDefault="00D81505" w:rsidP="00D500F1">
      <w:pPr>
        <w:pStyle w:val="ListParagraph"/>
        <w:numPr>
          <w:ilvl w:val="3"/>
          <w:numId w:val="1"/>
        </w:numPr>
        <w:tabs>
          <w:tab w:val="left" w:pos="1120"/>
          <w:tab w:val="left" w:pos="1121"/>
        </w:tabs>
        <w:spacing w:before="120" w:after="200" w:line="276" w:lineRule="auto"/>
        <w:ind w:right="1134"/>
        <w:rPr>
          <w:rFonts w:ascii="Verdana" w:hAnsi="Verdana"/>
          <w:sz w:val="24"/>
          <w:szCs w:val="24"/>
        </w:rPr>
      </w:pPr>
      <w:r w:rsidRPr="00D500F1">
        <w:rPr>
          <w:rFonts w:ascii="Verdana" w:hAnsi="Verdana"/>
          <w:sz w:val="24"/>
          <w:szCs w:val="24"/>
        </w:rPr>
        <w:t>Site location map showing the proposed site and proximity of local services and amenities</w:t>
      </w:r>
    </w:p>
    <w:p w14:paraId="05394581" w14:textId="012C0809" w:rsidR="00401BD4" w:rsidRDefault="00401BD4">
      <w:pPr>
        <w:rPr>
          <w:rFonts w:ascii="Verdana" w:hAnsi="Verdana"/>
          <w:sz w:val="24"/>
          <w:szCs w:val="24"/>
        </w:rPr>
      </w:pPr>
      <w:r>
        <w:rPr>
          <w:rFonts w:ascii="Verdana" w:hAnsi="Verdana"/>
          <w:sz w:val="24"/>
          <w:szCs w:val="24"/>
        </w:rPr>
        <w:br w:type="page"/>
      </w:r>
    </w:p>
    <w:p w14:paraId="600BA3C2" w14:textId="77777777" w:rsidR="00F60A68" w:rsidRPr="00D500F1" w:rsidRDefault="00D81505" w:rsidP="00D500F1">
      <w:pPr>
        <w:pStyle w:val="Heading1"/>
        <w:spacing w:before="120" w:after="200" w:line="276" w:lineRule="auto"/>
        <w:ind w:left="400" w:firstLine="0"/>
        <w:rPr>
          <w:rFonts w:ascii="Verdana" w:hAnsi="Verdana"/>
          <w:sz w:val="24"/>
          <w:szCs w:val="24"/>
        </w:rPr>
      </w:pPr>
      <w:r w:rsidRPr="00D500F1">
        <w:rPr>
          <w:rFonts w:ascii="Verdana" w:hAnsi="Verdana"/>
          <w:sz w:val="24"/>
          <w:szCs w:val="24"/>
        </w:rPr>
        <w:lastRenderedPageBreak/>
        <w:t>Evaluation of Stage 1 Submissions</w:t>
      </w:r>
    </w:p>
    <w:p w14:paraId="3996257D" w14:textId="77777777" w:rsidR="00F60A68" w:rsidRPr="00D500F1" w:rsidRDefault="00D81505" w:rsidP="00D500F1">
      <w:pPr>
        <w:pStyle w:val="BodyText"/>
        <w:spacing w:before="120" w:after="200" w:line="276" w:lineRule="auto"/>
        <w:ind w:left="400" w:right="619"/>
        <w:rPr>
          <w:rFonts w:ascii="Verdana" w:hAnsi="Verdana"/>
          <w:sz w:val="24"/>
          <w:szCs w:val="24"/>
        </w:rPr>
      </w:pPr>
      <w:r w:rsidRPr="00D500F1">
        <w:rPr>
          <w:rFonts w:ascii="Verdana" w:hAnsi="Verdana"/>
          <w:sz w:val="24"/>
          <w:szCs w:val="24"/>
        </w:rPr>
        <w:t>All Stage 1 submissions will be evaluated against Pass/Fail criteria. Only those submissions which achieve a Pass mark against all criteria, will move to the second stage of the process.</w:t>
      </w:r>
    </w:p>
    <w:p w14:paraId="50290859" w14:textId="77777777" w:rsidR="00F60A68" w:rsidRPr="00D500F1" w:rsidRDefault="00D81505" w:rsidP="00D500F1">
      <w:pPr>
        <w:pStyle w:val="BodyText"/>
        <w:spacing w:before="120" w:after="200" w:line="276" w:lineRule="auto"/>
        <w:ind w:left="400"/>
        <w:rPr>
          <w:rFonts w:ascii="Verdana" w:hAnsi="Verdana"/>
          <w:sz w:val="24"/>
          <w:szCs w:val="24"/>
        </w:rPr>
      </w:pPr>
      <w:r w:rsidRPr="00D500F1">
        <w:rPr>
          <w:rFonts w:ascii="Verdana" w:hAnsi="Verdana"/>
          <w:sz w:val="24"/>
          <w:szCs w:val="24"/>
        </w:rPr>
        <w:t>The Pass/Fail criteria are as follows:</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6450"/>
        <w:gridCol w:w="1597"/>
      </w:tblGrid>
      <w:tr w:rsidR="00F60A68" w:rsidRPr="00D500F1" w14:paraId="1A38C465" w14:textId="77777777">
        <w:trPr>
          <w:trHeight w:val="727"/>
        </w:trPr>
        <w:tc>
          <w:tcPr>
            <w:tcW w:w="679" w:type="dxa"/>
          </w:tcPr>
          <w:p w14:paraId="5132134D" w14:textId="77777777" w:rsidR="00F60A68" w:rsidRPr="00D500F1" w:rsidRDefault="00F60A68" w:rsidP="00D500F1">
            <w:pPr>
              <w:pStyle w:val="TableParagraph"/>
              <w:spacing w:before="120" w:after="200" w:line="276" w:lineRule="auto"/>
              <w:rPr>
                <w:rFonts w:ascii="Verdana" w:hAnsi="Verdana"/>
                <w:sz w:val="24"/>
                <w:szCs w:val="24"/>
              </w:rPr>
            </w:pPr>
          </w:p>
          <w:p w14:paraId="091B4A11"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1</w:t>
            </w:r>
          </w:p>
        </w:tc>
        <w:tc>
          <w:tcPr>
            <w:tcW w:w="6450" w:type="dxa"/>
          </w:tcPr>
          <w:p w14:paraId="76F52086" w14:textId="77777777" w:rsidR="00F60A68" w:rsidRPr="00D500F1" w:rsidRDefault="00F60A68" w:rsidP="00D500F1">
            <w:pPr>
              <w:pStyle w:val="TableParagraph"/>
              <w:spacing w:before="120" w:after="200" w:line="276" w:lineRule="auto"/>
              <w:rPr>
                <w:rFonts w:ascii="Verdana" w:hAnsi="Verdana"/>
                <w:sz w:val="24"/>
                <w:szCs w:val="24"/>
              </w:rPr>
            </w:pPr>
          </w:p>
          <w:p w14:paraId="34EDB748"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Location and suitability of the site</w:t>
            </w:r>
          </w:p>
        </w:tc>
        <w:tc>
          <w:tcPr>
            <w:tcW w:w="1597" w:type="dxa"/>
          </w:tcPr>
          <w:p w14:paraId="1E9D0FB6" w14:textId="77777777" w:rsidR="00F60A68" w:rsidRPr="00D500F1" w:rsidRDefault="00F60A68" w:rsidP="00D500F1">
            <w:pPr>
              <w:pStyle w:val="TableParagraph"/>
              <w:spacing w:before="120" w:after="200" w:line="276" w:lineRule="auto"/>
              <w:rPr>
                <w:rFonts w:ascii="Verdana" w:hAnsi="Verdana"/>
                <w:sz w:val="24"/>
                <w:szCs w:val="24"/>
              </w:rPr>
            </w:pPr>
          </w:p>
          <w:p w14:paraId="0A7088B2"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Pass/fail</w:t>
            </w:r>
          </w:p>
        </w:tc>
      </w:tr>
      <w:tr w:rsidR="00F60A68" w:rsidRPr="00D500F1" w14:paraId="7EA24C09" w14:textId="77777777">
        <w:trPr>
          <w:trHeight w:val="724"/>
        </w:trPr>
        <w:tc>
          <w:tcPr>
            <w:tcW w:w="679" w:type="dxa"/>
          </w:tcPr>
          <w:p w14:paraId="0ED32538" w14:textId="77777777" w:rsidR="00F60A68" w:rsidRPr="00D500F1" w:rsidRDefault="00F60A68" w:rsidP="00D500F1">
            <w:pPr>
              <w:pStyle w:val="TableParagraph"/>
              <w:spacing w:before="120" w:after="200" w:line="276" w:lineRule="auto"/>
              <w:rPr>
                <w:rFonts w:ascii="Verdana" w:hAnsi="Verdana"/>
                <w:sz w:val="24"/>
                <w:szCs w:val="24"/>
              </w:rPr>
            </w:pPr>
          </w:p>
          <w:p w14:paraId="5547969B"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2</w:t>
            </w:r>
          </w:p>
        </w:tc>
        <w:tc>
          <w:tcPr>
            <w:tcW w:w="6450" w:type="dxa"/>
          </w:tcPr>
          <w:p w14:paraId="36699A2A" w14:textId="77777777" w:rsidR="00F60A68" w:rsidRPr="00D500F1" w:rsidRDefault="00D81505" w:rsidP="00D500F1">
            <w:pPr>
              <w:pStyle w:val="TableParagraph"/>
              <w:spacing w:before="120" w:after="200" w:line="276" w:lineRule="auto"/>
              <w:ind w:left="107" w:right="332"/>
              <w:rPr>
                <w:rFonts w:ascii="Verdana" w:hAnsi="Verdana"/>
                <w:sz w:val="24"/>
                <w:szCs w:val="24"/>
              </w:rPr>
            </w:pPr>
            <w:r w:rsidRPr="00D500F1">
              <w:rPr>
                <w:rFonts w:ascii="Verdana" w:hAnsi="Verdana"/>
                <w:sz w:val="24"/>
                <w:szCs w:val="24"/>
              </w:rPr>
              <w:t>Land zoning status (if applicable). Zoning must be compatible with residential development</w:t>
            </w:r>
          </w:p>
        </w:tc>
        <w:tc>
          <w:tcPr>
            <w:tcW w:w="1597" w:type="dxa"/>
          </w:tcPr>
          <w:p w14:paraId="0C4C1FA4" w14:textId="77777777" w:rsidR="00F60A68" w:rsidRPr="00D500F1" w:rsidRDefault="00F60A68" w:rsidP="00D500F1">
            <w:pPr>
              <w:pStyle w:val="TableParagraph"/>
              <w:spacing w:before="120" w:after="200" w:line="276" w:lineRule="auto"/>
              <w:rPr>
                <w:rFonts w:ascii="Verdana" w:hAnsi="Verdana"/>
                <w:sz w:val="24"/>
                <w:szCs w:val="24"/>
              </w:rPr>
            </w:pPr>
          </w:p>
          <w:p w14:paraId="5F669D02"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Pass/fail</w:t>
            </w:r>
          </w:p>
        </w:tc>
      </w:tr>
      <w:tr w:rsidR="00F60A68" w:rsidRPr="00D500F1" w14:paraId="5625DF22" w14:textId="77777777">
        <w:trPr>
          <w:trHeight w:val="726"/>
        </w:trPr>
        <w:tc>
          <w:tcPr>
            <w:tcW w:w="679" w:type="dxa"/>
          </w:tcPr>
          <w:p w14:paraId="334BEE34" w14:textId="77777777" w:rsidR="00F60A68" w:rsidRPr="00D500F1" w:rsidRDefault="00F60A68" w:rsidP="00D500F1">
            <w:pPr>
              <w:pStyle w:val="TableParagraph"/>
              <w:spacing w:before="120" w:after="200" w:line="276" w:lineRule="auto"/>
              <w:rPr>
                <w:rFonts w:ascii="Verdana" w:hAnsi="Verdana"/>
                <w:sz w:val="24"/>
                <w:szCs w:val="24"/>
              </w:rPr>
            </w:pPr>
          </w:p>
          <w:p w14:paraId="02FE2154"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3</w:t>
            </w:r>
          </w:p>
        </w:tc>
        <w:tc>
          <w:tcPr>
            <w:tcW w:w="6450" w:type="dxa"/>
          </w:tcPr>
          <w:p w14:paraId="6A513E39" w14:textId="77777777" w:rsidR="00F60A68" w:rsidRPr="00D500F1" w:rsidRDefault="00D81505" w:rsidP="00D500F1">
            <w:pPr>
              <w:pStyle w:val="TableParagraph"/>
              <w:spacing w:before="120" w:after="200" w:line="276" w:lineRule="auto"/>
              <w:ind w:left="107" w:right="272"/>
              <w:rPr>
                <w:rFonts w:ascii="Verdana" w:hAnsi="Verdana"/>
                <w:sz w:val="24"/>
                <w:szCs w:val="24"/>
              </w:rPr>
            </w:pPr>
            <w:r w:rsidRPr="00D500F1">
              <w:rPr>
                <w:rFonts w:ascii="Verdana" w:hAnsi="Verdana"/>
                <w:sz w:val="24"/>
                <w:szCs w:val="24"/>
              </w:rPr>
              <w:t>All necessary utilities available, e.g. water, sewage, electricity, communications, etc.</w:t>
            </w:r>
          </w:p>
        </w:tc>
        <w:tc>
          <w:tcPr>
            <w:tcW w:w="1597" w:type="dxa"/>
          </w:tcPr>
          <w:p w14:paraId="49CCFF14" w14:textId="77777777" w:rsidR="00F60A68" w:rsidRPr="00D500F1" w:rsidRDefault="00F60A68" w:rsidP="00D500F1">
            <w:pPr>
              <w:pStyle w:val="TableParagraph"/>
              <w:spacing w:before="120" w:after="200" w:line="276" w:lineRule="auto"/>
              <w:rPr>
                <w:rFonts w:ascii="Verdana" w:hAnsi="Verdana"/>
                <w:sz w:val="24"/>
                <w:szCs w:val="24"/>
              </w:rPr>
            </w:pPr>
          </w:p>
          <w:p w14:paraId="58628219"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Pass/fail</w:t>
            </w:r>
          </w:p>
        </w:tc>
      </w:tr>
      <w:tr w:rsidR="00F60A68" w:rsidRPr="00D500F1" w14:paraId="53B6BA78" w14:textId="77777777">
        <w:trPr>
          <w:trHeight w:val="726"/>
        </w:trPr>
        <w:tc>
          <w:tcPr>
            <w:tcW w:w="679" w:type="dxa"/>
          </w:tcPr>
          <w:p w14:paraId="05EE0454" w14:textId="77777777" w:rsidR="00F60A68" w:rsidRPr="00D500F1" w:rsidRDefault="00F60A68" w:rsidP="00D500F1">
            <w:pPr>
              <w:pStyle w:val="TableParagraph"/>
              <w:spacing w:before="120" w:after="200" w:line="276" w:lineRule="auto"/>
              <w:rPr>
                <w:rFonts w:ascii="Verdana" w:hAnsi="Verdana"/>
                <w:sz w:val="24"/>
                <w:szCs w:val="24"/>
              </w:rPr>
            </w:pPr>
          </w:p>
          <w:p w14:paraId="1728D05A"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4</w:t>
            </w:r>
          </w:p>
        </w:tc>
        <w:tc>
          <w:tcPr>
            <w:tcW w:w="6450" w:type="dxa"/>
          </w:tcPr>
          <w:p w14:paraId="13CDCB43" w14:textId="77777777" w:rsidR="00F60A68" w:rsidRPr="00D500F1" w:rsidRDefault="00D81505" w:rsidP="00D500F1">
            <w:pPr>
              <w:pStyle w:val="TableParagraph"/>
              <w:spacing w:before="120" w:after="200" w:line="276" w:lineRule="auto"/>
              <w:ind w:left="107" w:right="332"/>
              <w:rPr>
                <w:rFonts w:ascii="Verdana" w:hAnsi="Verdana"/>
                <w:sz w:val="24"/>
                <w:szCs w:val="24"/>
              </w:rPr>
            </w:pPr>
            <w:r w:rsidRPr="00D500F1">
              <w:rPr>
                <w:rFonts w:ascii="Verdana" w:hAnsi="Verdana"/>
                <w:sz w:val="24"/>
                <w:szCs w:val="24"/>
              </w:rPr>
              <w:t>Initial indicative assessment of Affordability Gain</w:t>
            </w:r>
            <w:r w:rsidRPr="00D500F1">
              <w:rPr>
                <w:rStyle w:val="FootnoteReference"/>
                <w:rFonts w:ascii="Verdana" w:hAnsi="Verdana"/>
                <w:sz w:val="24"/>
                <w:szCs w:val="24"/>
              </w:rPr>
              <w:footnoteReference w:id="8"/>
            </w:r>
            <w:r w:rsidRPr="00D500F1">
              <w:rPr>
                <w:rFonts w:ascii="Verdana" w:hAnsi="Verdana"/>
                <w:position w:val="8"/>
                <w:sz w:val="24"/>
                <w:szCs w:val="24"/>
              </w:rPr>
              <w:t xml:space="preserve"> </w:t>
            </w:r>
            <w:r w:rsidRPr="00D500F1">
              <w:rPr>
                <w:rFonts w:ascii="Verdana" w:hAnsi="Verdana"/>
                <w:sz w:val="24"/>
                <w:szCs w:val="24"/>
              </w:rPr>
              <w:t>(only applicable on affordable or mixed tenure sites)</w:t>
            </w:r>
          </w:p>
        </w:tc>
        <w:tc>
          <w:tcPr>
            <w:tcW w:w="1597" w:type="dxa"/>
          </w:tcPr>
          <w:p w14:paraId="58FB9684" w14:textId="77777777" w:rsidR="00F60A68" w:rsidRPr="00D500F1" w:rsidRDefault="00F60A68" w:rsidP="00D500F1">
            <w:pPr>
              <w:pStyle w:val="TableParagraph"/>
              <w:spacing w:before="120" w:after="200" w:line="276" w:lineRule="auto"/>
              <w:rPr>
                <w:rFonts w:ascii="Verdana" w:hAnsi="Verdana"/>
                <w:sz w:val="24"/>
                <w:szCs w:val="24"/>
              </w:rPr>
            </w:pPr>
          </w:p>
          <w:p w14:paraId="46CA233D"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Pass/fail</w:t>
            </w:r>
          </w:p>
        </w:tc>
      </w:tr>
    </w:tbl>
    <w:p w14:paraId="241C693C" w14:textId="77777777" w:rsidR="00F60A68" w:rsidRPr="00D500F1" w:rsidRDefault="00D81505" w:rsidP="00D500F1">
      <w:pPr>
        <w:pStyle w:val="BodyText"/>
        <w:spacing w:before="120" w:after="200" w:line="276" w:lineRule="auto"/>
        <w:ind w:left="400" w:right="814"/>
        <w:rPr>
          <w:rFonts w:ascii="Verdana" w:hAnsi="Verdana"/>
          <w:sz w:val="24"/>
          <w:szCs w:val="24"/>
        </w:rPr>
      </w:pPr>
      <w:r w:rsidRPr="00D500F1">
        <w:rPr>
          <w:rFonts w:ascii="Verdana" w:hAnsi="Verdana"/>
          <w:sz w:val="24"/>
          <w:szCs w:val="24"/>
        </w:rPr>
        <w:t>Following evaluation of Stage 1 submissions, proposals which are deemed acceptable will move to Stage 2 in the process.</w:t>
      </w:r>
    </w:p>
    <w:p w14:paraId="70FDDBE4" w14:textId="77777777" w:rsidR="00F60A68" w:rsidRPr="00D500F1" w:rsidRDefault="00D81505" w:rsidP="00D500F1">
      <w:pPr>
        <w:pStyle w:val="Heading1"/>
        <w:numPr>
          <w:ilvl w:val="2"/>
          <w:numId w:val="1"/>
        </w:numPr>
        <w:tabs>
          <w:tab w:val="left" w:pos="1120"/>
          <w:tab w:val="left" w:pos="1121"/>
        </w:tabs>
        <w:spacing w:before="120" w:after="200" w:line="276" w:lineRule="auto"/>
        <w:ind w:hanging="721"/>
        <w:rPr>
          <w:rFonts w:ascii="Verdana" w:hAnsi="Verdana"/>
          <w:sz w:val="24"/>
          <w:szCs w:val="24"/>
        </w:rPr>
      </w:pPr>
      <w:r w:rsidRPr="00D500F1">
        <w:rPr>
          <w:rFonts w:ascii="Verdana" w:hAnsi="Verdana"/>
          <w:color w:val="212A35"/>
          <w:sz w:val="24"/>
          <w:szCs w:val="24"/>
        </w:rPr>
        <w:t>Stage 2 Submission</w:t>
      </w:r>
    </w:p>
    <w:p w14:paraId="55E9A367" w14:textId="77777777" w:rsidR="00F60A68" w:rsidRPr="00D500F1" w:rsidRDefault="00D81505" w:rsidP="00D500F1">
      <w:pPr>
        <w:pStyle w:val="BodyText"/>
        <w:spacing w:before="120" w:after="200" w:line="276" w:lineRule="auto"/>
        <w:ind w:left="400" w:right="544"/>
        <w:rPr>
          <w:rFonts w:ascii="Verdana" w:hAnsi="Verdana"/>
          <w:sz w:val="24"/>
          <w:szCs w:val="24"/>
        </w:rPr>
      </w:pPr>
      <w:r w:rsidRPr="00D500F1">
        <w:rPr>
          <w:rFonts w:ascii="Verdana" w:hAnsi="Verdana"/>
          <w:sz w:val="24"/>
          <w:szCs w:val="24"/>
        </w:rPr>
        <w:t>Successful applicants at Stage 1 will advance to Stage 2. If your proposal advances to Stage 2, you will be written to at that time under separate cover, outlining the full requirements in respect of the Stage 2 submission. The following are possible outline requirements that may be required for Stage 2:</w:t>
      </w:r>
    </w:p>
    <w:p w14:paraId="7F2E7DB5"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Number and mix of units proposed, and density in phase or</w:t>
      </w:r>
      <w:r w:rsidRPr="00D500F1">
        <w:rPr>
          <w:rFonts w:ascii="Verdana" w:hAnsi="Verdana"/>
          <w:spacing w:val="-7"/>
          <w:sz w:val="24"/>
          <w:szCs w:val="24"/>
        </w:rPr>
        <w:t xml:space="preserve"> </w:t>
      </w:r>
      <w:r w:rsidRPr="00D500F1">
        <w:rPr>
          <w:rFonts w:ascii="Verdana" w:hAnsi="Verdana"/>
          <w:sz w:val="24"/>
          <w:szCs w:val="24"/>
        </w:rPr>
        <w:t>phases</w:t>
      </w:r>
    </w:p>
    <w:p w14:paraId="35997A0C" w14:textId="587DE5AC" w:rsidR="00401BD4"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Schedule of materials and finishes being</w:t>
      </w:r>
      <w:r w:rsidRPr="00D500F1">
        <w:rPr>
          <w:rFonts w:ascii="Verdana" w:hAnsi="Verdana"/>
          <w:spacing w:val="2"/>
          <w:sz w:val="24"/>
          <w:szCs w:val="24"/>
        </w:rPr>
        <w:t xml:space="preserve"> </w:t>
      </w:r>
      <w:r w:rsidRPr="00D500F1">
        <w:rPr>
          <w:rFonts w:ascii="Verdana" w:hAnsi="Verdana"/>
          <w:sz w:val="24"/>
          <w:szCs w:val="24"/>
        </w:rPr>
        <w:t>proposed</w:t>
      </w:r>
    </w:p>
    <w:p w14:paraId="70E0DD4F" w14:textId="77777777" w:rsidR="00401BD4" w:rsidRDefault="00401BD4">
      <w:pPr>
        <w:rPr>
          <w:rFonts w:ascii="Verdana" w:hAnsi="Verdana"/>
          <w:sz w:val="24"/>
          <w:szCs w:val="24"/>
        </w:rPr>
      </w:pPr>
      <w:r>
        <w:rPr>
          <w:rFonts w:ascii="Verdana" w:hAnsi="Verdana"/>
          <w:sz w:val="24"/>
          <w:szCs w:val="24"/>
        </w:rPr>
        <w:br w:type="page"/>
      </w:r>
    </w:p>
    <w:p w14:paraId="5BEBEA69"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584"/>
        <w:rPr>
          <w:rFonts w:ascii="Verdana" w:hAnsi="Verdana"/>
          <w:sz w:val="24"/>
          <w:szCs w:val="24"/>
        </w:rPr>
      </w:pPr>
      <w:r w:rsidRPr="00D500F1">
        <w:rPr>
          <w:rFonts w:ascii="Verdana" w:hAnsi="Verdana"/>
          <w:sz w:val="24"/>
          <w:szCs w:val="24"/>
        </w:rPr>
        <w:lastRenderedPageBreak/>
        <w:t>The all-in cost of the development broken down between land costs, construction costs, design fees and other costs such as development levies, utilities, financing costs, sales, marketing, profit etc. It is a requirement that this information be provided for the different unit</w:t>
      </w:r>
      <w:r w:rsidRPr="00D500F1">
        <w:rPr>
          <w:rFonts w:ascii="Verdana" w:hAnsi="Verdana"/>
          <w:spacing w:val="-4"/>
          <w:sz w:val="24"/>
          <w:szCs w:val="24"/>
        </w:rPr>
        <w:t xml:space="preserve"> </w:t>
      </w:r>
      <w:r w:rsidRPr="00D500F1">
        <w:rPr>
          <w:rFonts w:ascii="Verdana" w:hAnsi="Verdana"/>
          <w:sz w:val="24"/>
          <w:szCs w:val="24"/>
        </w:rPr>
        <w:t>types</w:t>
      </w:r>
    </w:p>
    <w:p w14:paraId="048CA600"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A timeframe/programme for the completion of the proposed</w:t>
      </w:r>
      <w:r w:rsidRPr="00D500F1">
        <w:rPr>
          <w:rFonts w:ascii="Verdana" w:hAnsi="Verdana"/>
          <w:spacing w:val="-11"/>
          <w:sz w:val="24"/>
          <w:szCs w:val="24"/>
        </w:rPr>
        <w:t xml:space="preserve"> </w:t>
      </w:r>
      <w:r w:rsidRPr="00D500F1">
        <w:rPr>
          <w:rFonts w:ascii="Verdana" w:hAnsi="Verdana"/>
          <w:sz w:val="24"/>
          <w:szCs w:val="24"/>
        </w:rPr>
        <w:t>development</w:t>
      </w:r>
    </w:p>
    <w:p w14:paraId="22C8F809"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683"/>
        <w:rPr>
          <w:rFonts w:ascii="Verdana" w:hAnsi="Verdana"/>
          <w:sz w:val="24"/>
          <w:szCs w:val="24"/>
        </w:rPr>
      </w:pPr>
      <w:r w:rsidRPr="00D500F1">
        <w:rPr>
          <w:rFonts w:ascii="Verdana" w:hAnsi="Verdana"/>
          <w:sz w:val="24"/>
          <w:szCs w:val="24"/>
        </w:rPr>
        <w:t>Details of any Approved Housing Body, if applicable, and proposed role in delivering the</w:t>
      </w:r>
      <w:r w:rsidRPr="00D500F1">
        <w:rPr>
          <w:rFonts w:ascii="Verdana" w:hAnsi="Verdana"/>
          <w:spacing w:val="-1"/>
          <w:sz w:val="24"/>
          <w:szCs w:val="24"/>
        </w:rPr>
        <w:t xml:space="preserve"> </w:t>
      </w:r>
      <w:r w:rsidRPr="00D500F1">
        <w:rPr>
          <w:rFonts w:ascii="Verdana" w:hAnsi="Verdana"/>
          <w:sz w:val="24"/>
          <w:szCs w:val="24"/>
        </w:rPr>
        <w:t>development</w:t>
      </w:r>
    </w:p>
    <w:p w14:paraId="12E0474A"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Any other relevant</w:t>
      </w:r>
      <w:r w:rsidRPr="00D500F1">
        <w:rPr>
          <w:rFonts w:ascii="Verdana" w:hAnsi="Verdana"/>
          <w:spacing w:val="-1"/>
          <w:sz w:val="24"/>
          <w:szCs w:val="24"/>
        </w:rPr>
        <w:t xml:space="preserve"> </w:t>
      </w:r>
      <w:r w:rsidRPr="00D500F1">
        <w:rPr>
          <w:rFonts w:ascii="Verdana" w:hAnsi="Verdana"/>
          <w:sz w:val="24"/>
          <w:szCs w:val="24"/>
        </w:rPr>
        <w:t>information</w:t>
      </w:r>
    </w:p>
    <w:p w14:paraId="411BA971" w14:textId="77777777" w:rsidR="00F60A68" w:rsidRPr="00D500F1" w:rsidRDefault="00D81505" w:rsidP="00D500F1">
      <w:pPr>
        <w:pStyle w:val="BodyText"/>
        <w:spacing w:before="120" w:after="200" w:line="276" w:lineRule="auto"/>
        <w:ind w:left="400" w:right="557"/>
        <w:jc w:val="both"/>
        <w:rPr>
          <w:rFonts w:ascii="Verdana" w:hAnsi="Verdana"/>
          <w:sz w:val="24"/>
          <w:szCs w:val="24"/>
        </w:rPr>
      </w:pPr>
      <w:r w:rsidRPr="00D500F1">
        <w:rPr>
          <w:rFonts w:ascii="Verdana" w:hAnsi="Verdana"/>
          <w:sz w:val="24"/>
          <w:szCs w:val="24"/>
        </w:rPr>
        <w:t>Included in the evaluation of Stage 2 submissions is the availability of AHF subsidy for affordable and mixed tenure dwellings, which is subject to a review by the Department of Housing, Local Government and Heritage (DHLGH).</w:t>
      </w:r>
    </w:p>
    <w:p w14:paraId="5D40196F" w14:textId="77777777" w:rsidR="00F60A68" w:rsidRPr="00D500F1" w:rsidRDefault="00D81505" w:rsidP="00D500F1">
      <w:pPr>
        <w:pStyle w:val="BodyText"/>
        <w:spacing w:before="120" w:after="200" w:line="276" w:lineRule="auto"/>
        <w:ind w:left="400" w:right="557"/>
        <w:jc w:val="both"/>
        <w:rPr>
          <w:rFonts w:ascii="Verdana" w:hAnsi="Verdana"/>
          <w:sz w:val="24"/>
          <w:szCs w:val="24"/>
        </w:rPr>
      </w:pPr>
      <w:r w:rsidRPr="00D500F1">
        <w:rPr>
          <w:rFonts w:ascii="Verdana" w:hAnsi="Verdana"/>
          <w:sz w:val="24"/>
          <w:szCs w:val="24"/>
        </w:rPr>
        <w:t xml:space="preserve">Subject to the stage 2 assessment, </w:t>
      </w:r>
      <w:r w:rsidR="0012661B" w:rsidRPr="00D500F1">
        <w:rPr>
          <w:rFonts w:ascii="Verdana" w:hAnsi="Verdana"/>
          <w:sz w:val="24"/>
          <w:szCs w:val="24"/>
        </w:rPr>
        <w:t xml:space="preserve">Tipperary County Council </w:t>
      </w:r>
      <w:r w:rsidRPr="00D500F1">
        <w:rPr>
          <w:rFonts w:ascii="Verdana" w:hAnsi="Verdana"/>
          <w:sz w:val="24"/>
          <w:szCs w:val="24"/>
        </w:rPr>
        <w:t>will revert with confirmation that the scheme has been selected or declined for approval.</w:t>
      </w:r>
    </w:p>
    <w:p w14:paraId="7F1C98CD"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Contractual</w:t>
      </w:r>
      <w:r w:rsidRPr="00D500F1">
        <w:rPr>
          <w:rFonts w:ascii="Verdana" w:hAnsi="Verdana"/>
          <w:color w:val="4B6280"/>
          <w:spacing w:val="1"/>
          <w:sz w:val="24"/>
          <w:szCs w:val="24"/>
        </w:rPr>
        <w:t xml:space="preserve"> </w:t>
      </w:r>
      <w:r w:rsidRPr="00D500F1">
        <w:rPr>
          <w:rFonts w:ascii="Verdana" w:hAnsi="Verdana"/>
          <w:color w:val="4B6280"/>
          <w:sz w:val="24"/>
          <w:szCs w:val="24"/>
        </w:rPr>
        <w:t>arrangements</w:t>
      </w:r>
    </w:p>
    <w:p w14:paraId="071EFCBE" w14:textId="0784E547" w:rsidR="00F60A68" w:rsidRPr="00D500F1" w:rsidRDefault="00D81505" w:rsidP="00D500F1">
      <w:pPr>
        <w:pStyle w:val="BodyText"/>
        <w:spacing w:before="120" w:after="200" w:line="276" w:lineRule="auto"/>
        <w:ind w:left="400" w:right="630"/>
        <w:rPr>
          <w:rFonts w:ascii="Verdana" w:hAnsi="Verdana"/>
          <w:sz w:val="24"/>
          <w:szCs w:val="24"/>
        </w:rPr>
      </w:pPr>
      <w:r w:rsidRPr="00D500F1">
        <w:rPr>
          <w:rFonts w:ascii="Verdana" w:hAnsi="Verdana"/>
          <w:sz w:val="24"/>
          <w:szCs w:val="24"/>
        </w:rPr>
        <w:t xml:space="preserve">Where agreement is reached between the proposer and the Council on the scheme of development, a project specific Development Agreement will be required between the parties, regarding </w:t>
      </w:r>
      <w:r w:rsidR="002543B1">
        <w:rPr>
          <w:rFonts w:ascii="Verdana" w:hAnsi="Verdana"/>
          <w:sz w:val="24"/>
          <w:szCs w:val="24"/>
        </w:rPr>
        <w:t>any</w:t>
      </w:r>
      <w:r w:rsidRPr="00D500F1">
        <w:rPr>
          <w:rFonts w:ascii="Verdana" w:hAnsi="Verdana"/>
          <w:sz w:val="24"/>
          <w:szCs w:val="24"/>
        </w:rPr>
        <w:t xml:space="preserve"> advance purchase of any affordable properties </w:t>
      </w:r>
      <w:r w:rsidR="00C53DBC">
        <w:rPr>
          <w:rFonts w:ascii="Verdana" w:hAnsi="Verdana"/>
          <w:sz w:val="24"/>
          <w:szCs w:val="24"/>
        </w:rPr>
        <w:t xml:space="preserve">or other such arrangement </w:t>
      </w:r>
      <w:r w:rsidRPr="00D500F1">
        <w:rPr>
          <w:rFonts w:ascii="Verdana" w:hAnsi="Verdana"/>
          <w:sz w:val="24"/>
          <w:szCs w:val="24"/>
        </w:rPr>
        <w:t>and will be determined by the particular characteristics of each development.</w:t>
      </w:r>
    </w:p>
    <w:p w14:paraId="4AD2B9B3" w14:textId="77777777" w:rsidR="00F60A68" w:rsidRPr="00D500F1" w:rsidRDefault="00D81505" w:rsidP="00D500F1">
      <w:pPr>
        <w:pStyle w:val="BodyText"/>
        <w:spacing w:before="120" w:after="200" w:line="276" w:lineRule="auto"/>
        <w:ind w:left="400" w:right="569"/>
        <w:rPr>
          <w:rFonts w:ascii="Verdana" w:hAnsi="Verdana"/>
          <w:sz w:val="24"/>
          <w:szCs w:val="24"/>
        </w:rPr>
      </w:pPr>
      <w:r w:rsidRPr="00D500F1">
        <w:rPr>
          <w:rFonts w:ascii="Verdana" w:hAnsi="Verdana"/>
          <w:sz w:val="24"/>
          <w:szCs w:val="24"/>
        </w:rPr>
        <w:t>The conveyance of any social housing included in the proposal will be by way of a standard ‘Contract for Sale’, with a deposit payment of 10% being paid (in escrow) on execution of the contract. Please note that Part V of the Planning and Development Act 2000, as amended, applies.</w:t>
      </w:r>
    </w:p>
    <w:p w14:paraId="112AD61B" w14:textId="5E2A7241" w:rsidR="00F60A68" w:rsidRPr="00D500F1" w:rsidRDefault="00C53DBC" w:rsidP="00D500F1">
      <w:pPr>
        <w:pStyle w:val="Heading1"/>
        <w:spacing w:before="120" w:after="200" w:line="276" w:lineRule="auto"/>
        <w:ind w:left="400" w:right="1086" w:firstLine="0"/>
        <w:rPr>
          <w:rFonts w:ascii="Verdana" w:hAnsi="Verdana"/>
          <w:sz w:val="24"/>
          <w:szCs w:val="24"/>
        </w:rPr>
      </w:pPr>
      <w:r>
        <w:rPr>
          <w:rFonts w:ascii="Verdana" w:hAnsi="Verdana"/>
          <w:sz w:val="24"/>
          <w:szCs w:val="24"/>
        </w:rPr>
        <w:t>Any</w:t>
      </w:r>
      <w:r w:rsidR="00D81505" w:rsidRPr="00D500F1">
        <w:rPr>
          <w:rFonts w:ascii="Verdana" w:hAnsi="Verdana"/>
          <w:sz w:val="24"/>
          <w:szCs w:val="24"/>
        </w:rPr>
        <w:t xml:space="preserve"> turnkey contract agreement is not and should not be construed as a building agreement or public works contract.</w:t>
      </w:r>
    </w:p>
    <w:p w14:paraId="336487A0" w14:textId="77777777" w:rsidR="00F60A68" w:rsidRPr="00D500F1" w:rsidRDefault="00D81505" w:rsidP="00D500F1">
      <w:pPr>
        <w:pStyle w:val="BodyText"/>
        <w:spacing w:before="120" w:after="200" w:line="276" w:lineRule="auto"/>
        <w:ind w:left="400" w:right="691"/>
        <w:rPr>
          <w:rFonts w:ascii="Verdana" w:hAnsi="Verdana"/>
          <w:sz w:val="24"/>
          <w:szCs w:val="24"/>
        </w:rPr>
      </w:pPr>
      <w:r w:rsidRPr="00D500F1">
        <w:rPr>
          <w:rFonts w:ascii="Verdana" w:hAnsi="Verdana"/>
          <w:sz w:val="24"/>
          <w:szCs w:val="24"/>
        </w:rPr>
        <w:t xml:space="preserve">The acceptance of any proposal(s) by </w:t>
      </w:r>
      <w:r w:rsidR="0012661B" w:rsidRPr="00D500F1">
        <w:rPr>
          <w:rFonts w:ascii="Verdana" w:hAnsi="Verdana"/>
          <w:sz w:val="24"/>
          <w:szCs w:val="24"/>
        </w:rPr>
        <w:t>Tipperary County Council</w:t>
      </w:r>
      <w:r w:rsidRPr="00D500F1">
        <w:rPr>
          <w:rFonts w:ascii="Verdana" w:hAnsi="Verdana"/>
          <w:sz w:val="24"/>
          <w:szCs w:val="24"/>
        </w:rPr>
        <w:t xml:space="preserve"> shall be subject to the final agreement of satisfactory terms of contract with the developer and will also be subject to the availability of funding and the approval of the Department of Housing, Local Government and Heritage.</w:t>
      </w:r>
    </w:p>
    <w:p w14:paraId="28D25CB3" w14:textId="77777777" w:rsidR="00401BD4" w:rsidRDefault="00401BD4">
      <w:pPr>
        <w:rPr>
          <w:rFonts w:ascii="Verdana" w:hAnsi="Verdana"/>
          <w:sz w:val="24"/>
          <w:szCs w:val="24"/>
        </w:rPr>
      </w:pPr>
      <w:r>
        <w:rPr>
          <w:rFonts w:ascii="Verdana" w:hAnsi="Verdana"/>
          <w:sz w:val="24"/>
          <w:szCs w:val="24"/>
        </w:rPr>
        <w:br w:type="page"/>
      </w:r>
    </w:p>
    <w:p w14:paraId="32B3D958" w14:textId="7D971A21" w:rsidR="00F60A68" w:rsidRPr="00D500F1" w:rsidRDefault="00D81505" w:rsidP="00D500F1">
      <w:pPr>
        <w:pStyle w:val="BodyText"/>
        <w:spacing w:before="120" w:after="200" w:line="276" w:lineRule="auto"/>
        <w:ind w:left="400" w:right="630"/>
        <w:rPr>
          <w:rFonts w:ascii="Verdana" w:hAnsi="Verdana"/>
          <w:sz w:val="24"/>
          <w:szCs w:val="24"/>
        </w:rPr>
      </w:pPr>
      <w:r w:rsidRPr="00D500F1">
        <w:rPr>
          <w:rFonts w:ascii="Verdana" w:hAnsi="Verdana"/>
          <w:sz w:val="24"/>
          <w:szCs w:val="24"/>
        </w:rPr>
        <w:lastRenderedPageBreak/>
        <w:t xml:space="preserve">All costs and expenses incurred by applicants relating to and including the engagement of design consultants, securing planning permission, etc. is to be considered as ‘work at risk’ and no recovery of any costs from the Council will be entertained. </w:t>
      </w:r>
      <w:r w:rsidR="0012661B" w:rsidRPr="00D500F1">
        <w:rPr>
          <w:rFonts w:ascii="Verdana" w:hAnsi="Verdana"/>
          <w:sz w:val="24"/>
          <w:szCs w:val="24"/>
        </w:rPr>
        <w:t>Tipperary County Council</w:t>
      </w:r>
      <w:r w:rsidRPr="00D500F1">
        <w:rPr>
          <w:rFonts w:ascii="Verdana" w:hAnsi="Verdana"/>
          <w:sz w:val="24"/>
          <w:szCs w:val="24"/>
        </w:rPr>
        <w:t xml:space="preserve"> will have no financial liability prior to the signing of a contract.</w:t>
      </w:r>
    </w:p>
    <w:p w14:paraId="38A5E51A" w14:textId="77777777" w:rsidR="00F60A68" w:rsidRPr="00D500F1" w:rsidRDefault="00D81505" w:rsidP="00D500F1">
      <w:pPr>
        <w:pStyle w:val="Heading1"/>
        <w:numPr>
          <w:ilvl w:val="0"/>
          <w:numId w:val="2"/>
        </w:numPr>
        <w:tabs>
          <w:tab w:val="left" w:pos="1121"/>
        </w:tabs>
        <w:spacing w:before="240" w:after="200" w:line="276" w:lineRule="auto"/>
        <w:ind w:hanging="361"/>
        <w:jc w:val="left"/>
        <w:rPr>
          <w:rFonts w:ascii="Verdana" w:hAnsi="Verdana"/>
          <w:color w:val="4B6280"/>
          <w:sz w:val="24"/>
          <w:szCs w:val="24"/>
        </w:rPr>
      </w:pPr>
      <w:r w:rsidRPr="00D500F1">
        <w:rPr>
          <w:rFonts w:ascii="Verdana" w:hAnsi="Verdana"/>
          <w:color w:val="4B6280"/>
          <w:sz w:val="24"/>
          <w:szCs w:val="24"/>
        </w:rPr>
        <w:t>Confidentiality</w:t>
      </w:r>
    </w:p>
    <w:p w14:paraId="4F52F202" w14:textId="77777777" w:rsidR="00F60A68" w:rsidRPr="00D500F1" w:rsidRDefault="0012661B" w:rsidP="00D500F1">
      <w:pPr>
        <w:pStyle w:val="BodyText"/>
        <w:spacing w:before="120" w:after="200" w:line="276" w:lineRule="auto"/>
        <w:ind w:left="400" w:right="850"/>
        <w:rPr>
          <w:rFonts w:ascii="Verdana" w:hAnsi="Verdana"/>
          <w:sz w:val="24"/>
          <w:szCs w:val="24"/>
        </w:rPr>
      </w:pPr>
      <w:r w:rsidRPr="00D500F1">
        <w:rPr>
          <w:rFonts w:ascii="Verdana" w:hAnsi="Verdana"/>
          <w:sz w:val="24"/>
          <w:szCs w:val="24"/>
        </w:rPr>
        <w:t xml:space="preserve">Tipperary County Council </w:t>
      </w:r>
      <w:r w:rsidR="00D81505" w:rsidRPr="00D500F1">
        <w:rPr>
          <w:rFonts w:ascii="Verdana" w:hAnsi="Verdana"/>
          <w:sz w:val="24"/>
          <w:szCs w:val="24"/>
        </w:rPr>
        <w:t>will use its best efforts to hold confidential any information provided by proposers, subject to its obligations under law, including the Freedom of Information Act 1997 and 2003. The Council will consult with proposers about sensitive information before deciding on any FOI request received. Similarly, the Council requires that all information provided pursuant to this invitation will be treated in strict confidence by tenderers.</w:t>
      </w:r>
    </w:p>
    <w:p w14:paraId="3C1B0F38"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Irish</w:t>
      </w:r>
      <w:r w:rsidRPr="00D500F1">
        <w:rPr>
          <w:rFonts w:ascii="Verdana" w:hAnsi="Verdana"/>
          <w:color w:val="4B6280"/>
          <w:spacing w:val="-4"/>
          <w:sz w:val="24"/>
          <w:szCs w:val="24"/>
        </w:rPr>
        <w:t xml:space="preserve"> </w:t>
      </w:r>
      <w:r w:rsidRPr="00D500F1">
        <w:rPr>
          <w:rFonts w:ascii="Verdana" w:hAnsi="Verdana"/>
          <w:color w:val="4B6280"/>
          <w:sz w:val="24"/>
          <w:szCs w:val="24"/>
        </w:rPr>
        <w:t>legislation</w:t>
      </w:r>
    </w:p>
    <w:p w14:paraId="75239EAC" w14:textId="77777777" w:rsidR="00F60A68" w:rsidRPr="00D500F1" w:rsidRDefault="00D81505" w:rsidP="00D500F1">
      <w:pPr>
        <w:pStyle w:val="BodyText"/>
        <w:spacing w:before="120" w:after="200" w:line="276" w:lineRule="auto"/>
        <w:ind w:left="400" w:right="679"/>
        <w:rPr>
          <w:rFonts w:ascii="Verdana" w:hAnsi="Verdana"/>
          <w:sz w:val="24"/>
          <w:szCs w:val="24"/>
        </w:rPr>
      </w:pPr>
      <w:r w:rsidRPr="00D500F1">
        <w:rPr>
          <w:rFonts w:ascii="Verdana" w:hAnsi="Verdana"/>
          <w:sz w:val="24"/>
          <w:szCs w:val="24"/>
        </w:rPr>
        <w:t>Applicants should be aware that national legislation applies in other matters such as Official Secrets, Data Protection and Health and Safety.</w:t>
      </w:r>
    </w:p>
    <w:p w14:paraId="728B29B0" w14:textId="77777777" w:rsidR="00F60A68" w:rsidRPr="00D500F1" w:rsidRDefault="00D81505" w:rsidP="00D500F1">
      <w:pPr>
        <w:pStyle w:val="BodyText"/>
        <w:spacing w:before="120" w:after="200" w:line="276" w:lineRule="auto"/>
        <w:ind w:left="400" w:right="1267"/>
        <w:rPr>
          <w:rFonts w:ascii="Verdana" w:hAnsi="Verdana"/>
          <w:sz w:val="24"/>
          <w:szCs w:val="24"/>
        </w:rPr>
      </w:pPr>
      <w:r w:rsidRPr="00D500F1">
        <w:rPr>
          <w:rFonts w:ascii="Verdana" w:hAnsi="Verdana"/>
          <w:sz w:val="24"/>
          <w:szCs w:val="24"/>
        </w:rPr>
        <w:t>Applicants must have regard to statutory terms relating to minimum pay and to legally binding industrial or sectorial agreements in formulating proposals.</w:t>
      </w:r>
    </w:p>
    <w:p w14:paraId="5FCB32DB"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Meetings</w:t>
      </w:r>
    </w:p>
    <w:p w14:paraId="116AE762" w14:textId="77777777" w:rsidR="00F60A68" w:rsidRPr="00D500F1" w:rsidRDefault="0012661B" w:rsidP="00D500F1">
      <w:pPr>
        <w:pStyle w:val="BodyText"/>
        <w:spacing w:before="120" w:after="200" w:line="276" w:lineRule="auto"/>
        <w:ind w:left="400" w:right="679"/>
        <w:rPr>
          <w:rFonts w:ascii="Verdana" w:hAnsi="Verdana"/>
          <w:sz w:val="24"/>
          <w:szCs w:val="24"/>
        </w:rPr>
      </w:pPr>
      <w:r w:rsidRPr="00D500F1">
        <w:rPr>
          <w:rFonts w:ascii="Verdana" w:hAnsi="Verdana"/>
          <w:sz w:val="24"/>
          <w:szCs w:val="24"/>
        </w:rPr>
        <w:t xml:space="preserve">Tipperary County Council </w:t>
      </w:r>
      <w:r w:rsidR="00D81505" w:rsidRPr="00D500F1">
        <w:rPr>
          <w:rFonts w:ascii="Verdana" w:hAnsi="Verdana"/>
          <w:sz w:val="24"/>
          <w:szCs w:val="24"/>
        </w:rPr>
        <w:t>reserves the right to meet with Proposers if considered necessary, for the purposes of clarification of information received as part of the submission.</w:t>
      </w:r>
    </w:p>
    <w:p w14:paraId="4D3B5CB0"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Conflict of</w:t>
      </w:r>
      <w:r w:rsidRPr="00D500F1">
        <w:rPr>
          <w:rFonts w:ascii="Verdana" w:hAnsi="Verdana"/>
          <w:color w:val="4B6280"/>
          <w:spacing w:val="-1"/>
          <w:sz w:val="24"/>
          <w:szCs w:val="24"/>
        </w:rPr>
        <w:t xml:space="preserve"> </w:t>
      </w:r>
      <w:r w:rsidRPr="00D500F1">
        <w:rPr>
          <w:rFonts w:ascii="Verdana" w:hAnsi="Verdana"/>
          <w:color w:val="4B6280"/>
          <w:sz w:val="24"/>
          <w:szCs w:val="24"/>
        </w:rPr>
        <w:t>interest</w:t>
      </w:r>
    </w:p>
    <w:p w14:paraId="795FADB7" w14:textId="293B0A7B" w:rsidR="00F60A68" w:rsidRDefault="00D81505" w:rsidP="00D500F1">
      <w:pPr>
        <w:pStyle w:val="BodyText"/>
        <w:spacing w:before="120" w:after="200" w:line="276" w:lineRule="auto"/>
        <w:ind w:left="400" w:right="583"/>
        <w:rPr>
          <w:rFonts w:ascii="Verdana" w:hAnsi="Verdana"/>
          <w:sz w:val="24"/>
          <w:szCs w:val="24"/>
        </w:rPr>
      </w:pPr>
      <w:r w:rsidRPr="00D500F1">
        <w:rPr>
          <w:rFonts w:ascii="Verdana" w:hAnsi="Verdana"/>
          <w:sz w:val="24"/>
          <w:szCs w:val="24"/>
        </w:rPr>
        <w:t xml:space="preserve">Any conflict of interest or potential conflict of interest on the part of an Applicant, individual employees, agents, or subcontractors of an Applicant must be fully disclosed to </w:t>
      </w:r>
      <w:r w:rsidR="0012661B" w:rsidRPr="00D500F1">
        <w:rPr>
          <w:rFonts w:ascii="Verdana" w:hAnsi="Verdana"/>
          <w:sz w:val="24"/>
          <w:szCs w:val="24"/>
        </w:rPr>
        <w:t>Tipperary County Council</w:t>
      </w:r>
      <w:r w:rsidRPr="00D500F1">
        <w:rPr>
          <w:rFonts w:ascii="Verdana" w:hAnsi="Verdana"/>
          <w:sz w:val="24"/>
          <w:szCs w:val="24"/>
        </w:rPr>
        <w:t xml:space="preserve">, as soon as the conflict or potential conflict is or becomes apparent. In the event of any conflict or potential conflict of interest, the Council may invite Applicants to propose means by which the conflict might be removed. </w:t>
      </w:r>
      <w:r w:rsidR="0012661B" w:rsidRPr="00D500F1">
        <w:rPr>
          <w:rFonts w:ascii="Verdana" w:hAnsi="Verdana"/>
          <w:sz w:val="24"/>
          <w:szCs w:val="24"/>
        </w:rPr>
        <w:t xml:space="preserve">Tipperary County Council </w:t>
      </w:r>
      <w:r w:rsidRPr="00D500F1">
        <w:rPr>
          <w:rFonts w:ascii="Verdana" w:hAnsi="Verdana"/>
          <w:sz w:val="24"/>
          <w:szCs w:val="24"/>
        </w:rPr>
        <w:t>l will, at its absolute discretion, decide on the appropriate course of action, which may in appropriate circumstances, include eliminating an Applicant from the process or terminating any contract entered into by an</w:t>
      </w:r>
      <w:r w:rsidRPr="00D500F1">
        <w:rPr>
          <w:rFonts w:ascii="Verdana" w:hAnsi="Verdana"/>
          <w:spacing w:val="-18"/>
          <w:sz w:val="24"/>
          <w:szCs w:val="24"/>
        </w:rPr>
        <w:t xml:space="preserve"> </w:t>
      </w:r>
      <w:r w:rsidRPr="00D500F1">
        <w:rPr>
          <w:rFonts w:ascii="Verdana" w:hAnsi="Verdana"/>
          <w:sz w:val="24"/>
          <w:szCs w:val="24"/>
        </w:rPr>
        <w:t>Applicant.</w:t>
      </w:r>
    </w:p>
    <w:p w14:paraId="590DE726" w14:textId="77777777" w:rsidR="00401BD4" w:rsidRPr="00D500F1" w:rsidRDefault="00401BD4" w:rsidP="00D500F1">
      <w:pPr>
        <w:pStyle w:val="BodyText"/>
        <w:spacing w:before="120" w:after="200" w:line="276" w:lineRule="auto"/>
        <w:ind w:left="400" w:right="583"/>
        <w:rPr>
          <w:rFonts w:ascii="Verdana" w:hAnsi="Verdana"/>
          <w:sz w:val="24"/>
          <w:szCs w:val="24"/>
        </w:rPr>
      </w:pPr>
    </w:p>
    <w:p w14:paraId="66984741"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lastRenderedPageBreak/>
        <w:t>Applicant exclusion</w:t>
      </w:r>
    </w:p>
    <w:p w14:paraId="7AF27987" w14:textId="77777777" w:rsidR="00F60A68" w:rsidRPr="00D500F1" w:rsidRDefault="00D81505" w:rsidP="00D500F1">
      <w:pPr>
        <w:pStyle w:val="BodyText"/>
        <w:spacing w:before="120" w:after="200" w:line="276" w:lineRule="auto"/>
        <w:ind w:left="400" w:right="716"/>
        <w:jc w:val="both"/>
        <w:rPr>
          <w:rFonts w:ascii="Verdana" w:hAnsi="Verdana"/>
          <w:sz w:val="24"/>
          <w:szCs w:val="24"/>
        </w:rPr>
      </w:pPr>
      <w:r w:rsidRPr="00D500F1">
        <w:rPr>
          <w:rFonts w:ascii="Verdana" w:hAnsi="Verdana"/>
          <w:sz w:val="24"/>
          <w:szCs w:val="24"/>
        </w:rPr>
        <w:t xml:space="preserve">An Applicant shall be excluded if, to </w:t>
      </w:r>
      <w:r w:rsidR="0012661B" w:rsidRPr="00D500F1">
        <w:rPr>
          <w:rFonts w:ascii="Verdana" w:hAnsi="Verdana"/>
          <w:sz w:val="24"/>
          <w:szCs w:val="24"/>
        </w:rPr>
        <w:t xml:space="preserve">Tipperary County Council </w:t>
      </w:r>
      <w:r w:rsidRPr="00D500F1">
        <w:rPr>
          <w:rFonts w:ascii="Verdana" w:hAnsi="Verdana"/>
          <w:sz w:val="24"/>
          <w:szCs w:val="24"/>
        </w:rPr>
        <w:t>knowledge at the time of the award decision, it has been convicted of an offence involving participation in a proscribed criminal organisation or corruption, fraud or money laundering.</w:t>
      </w:r>
    </w:p>
    <w:p w14:paraId="432D25FB" w14:textId="77777777" w:rsidR="00F60A68" w:rsidRPr="00D500F1" w:rsidRDefault="00D81505" w:rsidP="00D500F1">
      <w:pPr>
        <w:pStyle w:val="BodyText"/>
        <w:spacing w:before="120" w:after="200" w:line="276" w:lineRule="auto"/>
        <w:ind w:left="400"/>
        <w:jc w:val="both"/>
        <w:rPr>
          <w:rFonts w:ascii="Verdana" w:hAnsi="Verdana"/>
          <w:sz w:val="24"/>
          <w:szCs w:val="24"/>
        </w:rPr>
      </w:pPr>
      <w:r w:rsidRPr="00D500F1">
        <w:rPr>
          <w:rFonts w:ascii="Verdana" w:hAnsi="Verdana"/>
          <w:sz w:val="24"/>
          <w:szCs w:val="24"/>
        </w:rPr>
        <w:t>An Applicant may be excluded if s/he:</w:t>
      </w:r>
    </w:p>
    <w:p w14:paraId="3616E46D"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839"/>
        <w:rPr>
          <w:rFonts w:ascii="Verdana" w:hAnsi="Verdana"/>
          <w:sz w:val="24"/>
          <w:szCs w:val="24"/>
        </w:rPr>
      </w:pPr>
      <w:r w:rsidRPr="00D500F1">
        <w:rPr>
          <w:rFonts w:ascii="Verdana" w:hAnsi="Verdana"/>
          <w:sz w:val="24"/>
          <w:szCs w:val="24"/>
        </w:rPr>
        <w:t>is subject to a bankruptcy or insolvency procedure or process of a kind specified in Regulation 53, paragraph (5) of the European Communities (Award of Public Authorities’ Contracts) Regulations 2006</w:t>
      </w:r>
      <w:r w:rsidRPr="00D500F1">
        <w:rPr>
          <w:rFonts w:ascii="Verdana" w:hAnsi="Verdana"/>
          <w:spacing w:val="-6"/>
          <w:sz w:val="24"/>
          <w:szCs w:val="24"/>
        </w:rPr>
        <w:t xml:space="preserve"> </w:t>
      </w:r>
      <w:r w:rsidRPr="00D500F1">
        <w:rPr>
          <w:rFonts w:ascii="Verdana" w:hAnsi="Verdana"/>
          <w:sz w:val="24"/>
          <w:szCs w:val="24"/>
        </w:rPr>
        <w:t>or</w:t>
      </w:r>
    </w:p>
    <w:p w14:paraId="27460610"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1170"/>
        <w:rPr>
          <w:rFonts w:ascii="Verdana" w:hAnsi="Verdana"/>
          <w:sz w:val="24"/>
          <w:szCs w:val="24"/>
        </w:rPr>
      </w:pPr>
      <w:r w:rsidRPr="00D500F1">
        <w:rPr>
          <w:rFonts w:ascii="Verdana" w:hAnsi="Verdana"/>
          <w:sz w:val="24"/>
          <w:szCs w:val="24"/>
        </w:rPr>
        <w:t>has been found guilty of professional misconduct by a competent authority that is authorised by law to hear and determine allegations of professional</w:t>
      </w:r>
      <w:r w:rsidRPr="00D500F1">
        <w:rPr>
          <w:rFonts w:ascii="Verdana" w:hAnsi="Verdana"/>
          <w:spacing w:val="-20"/>
          <w:sz w:val="24"/>
          <w:szCs w:val="24"/>
        </w:rPr>
        <w:t xml:space="preserve"> </w:t>
      </w:r>
      <w:r w:rsidR="002314B7" w:rsidRPr="00D500F1">
        <w:rPr>
          <w:rFonts w:ascii="Verdana" w:hAnsi="Verdana"/>
          <w:sz w:val="24"/>
          <w:szCs w:val="24"/>
        </w:rPr>
        <w:t>misconduct against</w:t>
      </w:r>
      <w:r w:rsidRPr="00D500F1">
        <w:rPr>
          <w:rFonts w:ascii="Verdana" w:hAnsi="Verdana"/>
          <w:sz w:val="24"/>
          <w:szCs w:val="24"/>
        </w:rPr>
        <w:t xml:space="preserve"> persons that include the Applicant or has committed grave professional misconduct provable by means that the Council can demonstrate or</w:t>
      </w:r>
    </w:p>
    <w:p w14:paraId="44634CD5"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572"/>
        <w:rPr>
          <w:rFonts w:ascii="Verdana" w:hAnsi="Verdana"/>
          <w:sz w:val="24"/>
          <w:szCs w:val="24"/>
        </w:rPr>
      </w:pPr>
      <w:r w:rsidRPr="00D500F1">
        <w:rPr>
          <w:rFonts w:ascii="Verdana" w:hAnsi="Verdana"/>
          <w:sz w:val="24"/>
          <w:szCs w:val="24"/>
        </w:rPr>
        <w:t>has not fulfilled an obligation to pay a social security contribution as required by a law of Ireland or the country or territory where the Applicant ordinarily resides or carries on business or</w:t>
      </w:r>
    </w:p>
    <w:p w14:paraId="308769FC"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560"/>
        <w:rPr>
          <w:rFonts w:ascii="Verdana" w:hAnsi="Verdana"/>
          <w:sz w:val="24"/>
          <w:szCs w:val="24"/>
        </w:rPr>
      </w:pPr>
      <w:r w:rsidRPr="00D500F1">
        <w:rPr>
          <w:rFonts w:ascii="Verdana" w:hAnsi="Verdana"/>
          <w:sz w:val="24"/>
          <w:szCs w:val="24"/>
        </w:rPr>
        <w:t>has not fulfilled an obligation to pay a tax or levy imposed by or under a law of Ireland or the country or territory where the Applicant ordinarily resides or carries on business</w:t>
      </w:r>
      <w:r w:rsidRPr="00D500F1">
        <w:rPr>
          <w:rFonts w:ascii="Verdana" w:hAnsi="Verdana"/>
          <w:spacing w:val="1"/>
          <w:sz w:val="24"/>
          <w:szCs w:val="24"/>
        </w:rPr>
        <w:t xml:space="preserve"> </w:t>
      </w:r>
      <w:r w:rsidRPr="00D500F1">
        <w:rPr>
          <w:rFonts w:ascii="Verdana" w:hAnsi="Verdana"/>
          <w:sz w:val="24"/>
          <w:szCs w:val="24"/>
        </w:rPr>
        <w:t>or</w:t>
      </w:r>
    </w:p>
    <w:p w14:paraId="55F9C3E2"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582"/>
        <w:rPr>
          <w:rFonts w:ascii="Verdana" w:hAnsi="Verdana"/>
          <w:sz w:val="24"/>
          <w:szCs w:val="24"/>
        </w:rPr>
      </w:pPr>
      <w:r w:rsidRPr="00D500F1">
        <w:rPr>
          <w:rFonts w:ascii="Verdana" w:hAnsi="Verdana"/>
          <w:sz w:val="24"/>
          <w:szCs w:val="24"/>
        </w:rPr>
        <w:t xml:space="preserve">has provided a statement or information to the Council or another contracting authority knowing it to be false or misleading or has failed to provide to the Council or another such authority, a statement or information that is reasonably required by </w:t>
      </w:r>
      <w:r w:rsidR="0012661B" w:rsidRPr="00D500F1">
        <w:rPr>
          <w:rFonts w:ascii="Verdana" w:hAnsi="Verdana"/>
          <w:sz w:val="24"/>
          <w:szCs w:val="24"/>
        </w:rPr>
        <w:t xml:space="preserve">Tipperary County Council </w:t>
      </w:r>
      <w:r w:rsidRPr="00D500F1">
        <w:rPr>
          <w:rFonts w:ascii="Verdana" w:hAnsi="Verdana"/>
          <w:sz w:val="24"/>
          <w:szCs w:val="24"/>
        </w:rPr>
        <w:t>or other authority for the purpose of awarding the public contract</w:t>
      </w:r>
      <w:r w:rsidRPr="00D500F1">
        <w:rPr>
          <w:rFonts w:ascii="Verdana" w:hAnsi="Verdana"/>
          <w:spacing w:val="-1"/>
          <w:sz w:val="24"/>
          <w:szCs w:val="24"/>
        </w:rPr>
        <w:t xml:space="preserve"> </w:t>
      </w:r>
      <w:r w:rsidRPr="00D500F1">
        <w:rPr>
          <w:rFonts w:ascii="Verdana" w:hAnsi="Verdana"/>
          <w:sz w:val="24"/>
          <w:szCs w:val="24"/>
        </w:rPr>
        <w:t>concerned.</w:t>
      </w:r>
    </w:p>
    <w:p w14:paraId="69DC9F0C" w14:textId="77777777" w:rsidR="00F60A68" w:rsidRPr="00D500F1" w:rsidRDefault="00D500F1"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F</w:t>
      </w:r>
      <w:r w:rsidR="00D81505" w:rsidRPr="00D500F1">
        <w:rPr>
          <w:rFonts w:ascii="Verdana" w:hAnsi="Verdana"/>
          <w:color w:val="4B6280"/>
          <w:sz w:val="24"/>
          <w:szCs w:val="24"/>
        </w:rPr>
        <w:t>unding</w:t>
      </w:r>
      <w:r w:rsidR="00D81505" w:rsidRPr="00D500F1">
        <w:rPr>
          <w:rFonts w:ascii="Verdana" w:hAnsi="Verdana"/>
          <w:color w:val="4B6280"/>
          <w:spacing w:val="-1"/>
          <w:sz w:val="24"/>
          <w:szCs w:val="24"/>
        </w:rPr>
        <w:t xml:space="preserve"> </w:t>
      </w:r>
      <w:r w:rsidR="00D81505" w:rsidRPr="00D500F1">
        <w:rPr>
          <w:rFonts w:ascii="Verdana" w:hAnsi="Verdana"/>
          <w:color w:val="4B6280"/>
          <w:sz w:val="24"/>
          <w:szCs w:val="24"/>
        </w:rPr>
        <w:t>Support</w:t>
      </w:r>
    </w:p>
    <w:p w14:paraId="4FCE896B" w14:textId="05698E2D" w:rsidR="00F60A68" w:rsidRDefault="00D81505" w:rsidP="00D500F1">
      <w:pPr>
        <w:pStyle w:val="BodyText"/>
        <w:spacing w:before="120" w:after="200" w:line="276" w:lineRule="auto"/>
        <w:ind w:left="400" w:right="664"/>
        <w:rPr>
          <w:rFonts w:ascii="Verdana" w:hAnsi="Verdana"/>
          <w:sz w:val="24"/>
          <w:szCs w:val="24"/>
        </w:rPr>
      </w:pPr>
      <w:r w:rsidRPr="00D500F1">
        <w:rPr>
          <w:rFonts w:ascii="Verdana" w:hAnsi="Verdana"/>
          <w:sz w:val="24"/>
          <w:szCs w:val="24"/>
        </w:rPr>
        <w:t xml:space="preserve">It may be noted that various funding parties have been informed of this call for expression of interest. The Home Building Finance Ireland (HBFI) have advised of their interest in supporting affordable and social housing delivery. Funding may be available via the </w:t>
      </w:r>
      <w:proofErr w:type="spellStart"/>
      <w:r w:rsidRPr="00D500F1">
        <w:rPr>
          <w:rFonts w:ascii="Verdana" w:hAnsi="Verdana"/>
          <w:sz w:val="24"/>
          <w:szCs w:val="24"/>
        </w:rPr>
        <w:t>HBFI</w:t>
      </w:r>
      <w:proofErr w:type="spellEnd"/>
      <w:r w:rsidRPr="00D500F1">
        <w:rPr>
          <w:rFonts w:ascii="Verdana" w:hAnsi="Verdana"/>
          <w:sz w:val="24"/>
          <w:szCs w:val="24"/>
        </w:rPr>
        <w:t xml:space="preserve"> amongst other sources.</w:t>
      </w:r>
    </w:p>
    <w:p w14:paraId="3D800101" w14:textId="77777777" w:rsidR="00401BD4" w:rsidRPr="00D500F1" w:rsidRDefault="00401BD4" w:rsidP="00D500F1">
      <w:pPr>
        <w:pStyle w:val="BodyText"/>
        <w:spacing w:before="120" w:after="200" w:line="276" w:lineRule="auto"/>
        <w:ind w:left="400" w:right="664"/>
        <w:rPr>
          <w:rFonts w:ascii="Verdana" w:hAnsi="Verdana"/>
          <w:sz w:val="24"/>
          <w:szCs w:val="24"/>
        </w:rPr>
      </w:pPr>
    </w:p>
    <w:p w14:paraId="417AA397"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lastRenderedPageBreak/>
        <w:t>Queries</w:t>
      </w:r>
    </w:p>
    <w:p w14:paraId="18E2A9E8" w14:textId="3C2B76E9" w:rsidR="00F60A68" w:rsidRDefault="00D81505" w:rsidP="00D500F1">
      <w:pPr>
        <w:pStyle w:val="BodyText"/>
        <w:spacing w:before="120" w:after="200" w:line="276" w:lineRule="auto"/>
        <w:ind w:left="400" w:right="1291"/>
        <w:rPr>
          <w:rFonts w:ascii="Verdana" w:hAnsi="Verdana"/>
          <w:sz w:val="24"/>
          <w:szCs w:val="24"/>
          <w:highlight w:val="yellow"/>
        </w:rPr>
      </w:pPr>
      <w:r w:rsidRPr="00D500F1">
        <w:rPr>
          <w:rFonts w:ascii="Verdana" w:hAnsi="Verdana"/>
          <w:sz w:val="24"/>
          <w:szCs w:val="24"/>
        </w:rPr>
        <w:t xml:space="preserve">Queries can be made by submitting questions by email to </w:t>
      </w:r>
      <w:hyperlink r:id="rId10" w:history="1">
        <w:r w:rsidR="00BA65C6" w:rsidRPr="00EE513E">
          <w:rPr>
            <w:rStyle w:val="Hyperlink"/>
            <w:rFonts w:ascii="Verdana" w:hAnsi="Verdana"/>
            <w:sz w:val="24"/>
            <w:szCs w:val="24"/>
            <w:highlight w:val="yellow"/>
          </w:rPr>
          <w:t>affordablehousing@tipperarycoco.ie</w:t>
        </w:r>
      </w:hyperlink>
    </w:p>
    <w:p w14:paraId="6A25099F" w14:textId="77777777" w:rsidR="00BA65C6" w:rsidRPr="00D500F1" w:rsidRDefault="00BA65C6" w:rsidP="00D500F1">
      <w:pPr>
        <w:pStyle w:val="BodyText"/>
        <w:spacing w:before="120" w:after="200" w:line="276" w:lineRule="auto"/>
        <w:ind w:left="400" w:right="1291"/>
        <w:rPr>
          <w:rFonts w:ascii="Verdana" w:hAnsi="Verdana"/>
          <w:sz w:val="24"/>
          <w:szCs w:val="24"/>
        </w:rPr>
      </w:pPr>
    </w:p>
    <w:p w14:paraId="4A9CD8C9" w14:textId="77777777" w:rsidR="00F60A68" w:rsidRPr="00D500F1" w:rsidRDefault="00D81505" w:rsidP="00D500F1">
      <w:pPr>
        <w:pStyle w:val="BodyText"/>
        <w:spacing w:before="120" w:after="200" w:line="276" w:lineRule="auto"/>
        <w:ind w:left="400" w:right="642"/>
        <w:rPr>
          <w:rFonts w:ascii="Verdana" w:hAnsi="Verdana"/>
          <w:sz w:val="24"/>
          <w:szCs w:val="24"/>
        </w:rPr>
      </w:pPr>
      <w:r w:rsidRPr="00D500F1">
        <w:rPr>
          <w:rFonts w:ascii="Verdana" w:hAnsi="Verdana"/>
          <w:sz w:val="24"/>
          <w:szCs w:val="24"/>
        </w:rPr>
        <w:t>Any queries made that give rise to any new information or clarification, may be issued to all Applicants depending on relevance. The identity of the Applicant who raised the initial query shall not be disclosed to other interested parties.</w:t>
      </w:r>
    </w:p>
    <w:p w14:paraId="7E357700"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Reference documents</w:t>
      </w:r>
    </w:p>
    <w:p w14:paraId="64232EFD" w14:textId="77777777" w:rsidR="00F60A68" w:rsidRPr="00D500F1" w:rsidRDefault="00D81505" w:rsidP="00D500F1">
      <w:pPr>
        <w:pStyle w:val="BodyText"/>
        <w:spacing w:before="120" w:after="200" w:line="276" w:lineRule="auto"/>
        <w:ind w:left="400" w:right="667"/>
        <w:rPr>
          <w:rFonts w:ascii="Verdana" w:hAnsi="Verdana"/>
          <w:sz w:val="24"/>
          <w:szCs w:val="24"/>
        </w:rPr>
      </w:pPr>
      <w:r w:rsidRPr="00D500F1">
        <w:rPr>
          <w:rFonts w:ascii="Verdana" w:hAnsi="Verdana"/>
          <w:sz w:val="24"/>
          <w:szCs w:val="24"/>
        </w:rPr>
        <w:t>The following documents may be of assistance to parties interested in making a submission under this call for proposals:</w:t>
      </w:r>
    </w:p>
    <w:p w14:paraId="34CE80A5" w14:textId="77777777" w:rsidR="00F60A68" w:rsidRPr="00D500F1" w:rsidRDefault="00F60A68" w:rsidP="00D500F1">
      <w:pPr>
        <w:pStyle w:val="BodyText"/>
        <w:spacing w:before="120" w:after="200" w:line="276" w:lineRule="auto"/>
        <w:rPr>
          <w:rFonts w:ascii="Verdana" w:hAnsi="Verdana"/>
          <w:sz w:val="24"/>
          <w:szCs w:val="24"/>
        </w:rPr>
      </w:pPr>
    </w:p>
    <w:p w14:paraId="712A0085" w14:textId="77777777" w:rsidR="00F60A68" w:rsidRPr="00D500F1" w:rsidRDefault="002314B7" w:rsidP="00D500F1">
      <w:pPr>
        <w:pStyle w:val="ListParagraph"/>
        <w:numPr>
          <w:ilvl w:val="3"/>
          <w:numId w:val="1"/>
        </w:numPr>
        <w:tabs>
          <w:tab w:val="left" w:pos="1120"/>
          <w:tab w:val="left" w:pos="1121"/>
        </w:tabs>
        <w:spacing w:before="120" w:after="200" w:line="276" w:lineRule="auto"/>
        <w:ind w:right="715"/>
        <w:rPr>
          <w:rFonts w:ascii="Verdana" w:hAnsi="Verdana"/>
          <w:sz w:val="24"/>
          <w:szCs w:val="24"/>
        </w:rPr>
      </w:pPr>
      <w:r w:rsidRPr="00D500F1">
        <w:rPr>
          <w:rFonts w:ascii="Verdana" w:hAnsi="Verdana"/>
          <w:sz w:val="24"/>
          <w:szCs w:val="24"/>
          <w:highlight w:val="yellow"/>
        </w:rPr>
        <w:t>Tipperary</w:t>
      </w:r>
      <w:r w:rsidR="00D81505" w:rsidRPr="00D500F1">
        <w:rPr>
          <w:rFonts w:ascii="Verdana" w:hAnsi="Verdana"/>
          <w:sz w:val="24"/>
          <w:szCs w:val="24"/>
          <w:highlight w:val="yellow"/>
        </w:rPr>
        <w:t xml:space="preserve"> County Development Plan </w:t>
      </w:r>
      <w:r w:rsidRPr="00D500F1">
        <w:rPr>
          <w:rFonts w:ascii="Verdana" w:hAnsi="Verdana"/>
          <w:sz w:val="24"/>
          <w:szCs w:val="24"/>
          <w:highlight w:val="yellow"/>
        </w:rPr>
        <w:t>2022</w:t>
      </w:r>
      <w:r w:rsidR="00D81505" w:rsidRPr="00D500F1">
        <w:rPr>
          <w:rFonts w:ascii="Verdana" w:hAnsi="Verdana"/>
          <w:sz w:val="24"/>
          <w:szCs w:val="24"/>
          <w:highlight w:val="yellow"/>
        </w:rPr>
        <w:t>-20</w:t>
      </w:r>
      <w:r w:rsidRPr="00D500F1">
        <w:rPr>
          <w:rFonts w:ascii="Verdana" w:hAnsi="Verdana"/>
          <w:sz w:val="24"/>
          <w:szCs w:val="24"/>
          <w:highlight w:val="yellow"/>
        </w:rPr>
        <w:t>28</w:t>
      </w:r>
      <w:r w:rsidR="00D81505" w:rsidRPr="00D500F1">
        <w:rPr>
          <w:rFonts w:ascii="Verdana" w:hAnsi="Verdana"/>
          <w:color w:val="0462C1"/>
          <w:sz w:val="24"/>
          <w:szCs w:val="24"/>
          <w:u w:val="single" w:color="0462C1"/>
        </w:rPr>
        <w:t xml:space="preserve"> </w:t>
      </w:r>
      <w:hyperlink r:id="rId11" w:history="1">
        <w:r w:rsidRPr="00D500F1">
          <w:rPr>
            <w:rStyle w:val="Hyperlink"/>
            <w:rFonts w:ascii="Verdana" w:hAnsi="Verdana"/>
            <w:sz w:val="24"/>
            <w:szCs w:val="24"/>
          </w:rPr>
          <w:t>https://www.tipperarycoco.ie/news/proposed-amendments-draft-tipperary-county-development-plan-2022-2028</w:t>
        </w:r>
      </w:hyperlink>
      <w:r w:rsidRPr="00D500F1">
        <w:rPr>
          <w:rFonts w:ascii="Verdana" w:hAnsi="Verdana"/>
          <w:sz w:val="24"/>
          <w:szCs w:val="24"/>
        </w:rPr>
        <w:t xml:space="preserve"> </w:t>
      </w:r>
    </w:p>
    <w:p w14:paraId="7362F290"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909"/>
        <w:rPr>
          <w:rFonts w:ascii="Verdana" w:hAnsi="Verdana"/>
          <w:sz w:val="24"/>
          <w:szCs w:val="24"/>
        </w:rPr>
      </w:pPr>
      <w:r w:rsidRPr="00D500F1">
        <w:rPr>
          <w:rFonts w:ascii="Verdana" w:hAnsi="Verdana"/>
          <w:sz w:val="24"/>
          <w:szCs w:val="24"/>
        </w:rPr>
        <w:t>Quality Homes for Sustainability Communities and Delivering Homes Sustaining Communities, 2007 (</w:t>
      </w:r>
      <w:hyperlink r:id="rId12">
        <w:r w:rsidRPr="00D500F1">
          <w:rPr>
            <w:rFonts w:ascii="Verdana" w:hAnsi="Verdana"/>
            <w:color w:val="0462C1"/>
            <w:sz w:val="24"/>
            <w:szCs w:val="24"/>
            <w:u w:val="single" w:color="0462C1"/>
          </w:rPr>
          <w:t>https://www.gov.ie/en/publication/60868-quality-housing-for-</w:t>
        </w:r>
      </w:hyperlink>
      <w:hyperlink r:id="rId13">
        <w:r w:rsidRPr="00D500F1">
          <w:rPr>
            <w:rFonts w:ascii="Verdana" w:hAnsi="Verdana"/>
            <w:color w:val="0462C1"/>
            <w:sz w:val="24"/>
            <w:szCs w:val="24"/>
            <w:u w:val="single" w:color="0462C1"/>
          </w:rPr>
          <w:t xml:space="preserve"> sustainable-communities/</w:t>
        </w:r>
        <w:r w:rsidRPr="00D500F1">
          <w:rPr>
            <w:rFonts w:ascii="Verdana" w:hAnsi="Verdana"/>
            <w:color w:val="0462C1"/>
            <w:sz w:val="24"/>
            <w:szCs w:val="24"/>
          </w:rPr>
          <w:t xml:space="preserve"> </w:t>
        </w:r>
      </w:hyperlink>
      <w:r w:rsidRPr="00D500F1">
        <w:rPr>
          <w:rFonts w:ascii="Verdana" w:hAnsi="Verdana"/>
          <w:sz w:val="24"/>
          <w:szCs w:val="24"/>
        </w:rPr>
        <w:t>&amp;</w:t>
      </w:r>
      <w:hyperlink r:id="rId14">
        <w:r w:rsidRPr="00D500F1">
          <w:rPr>
            <w:rFonts w:ascii="Verdana" w:hAnsi="Verdana"/>
            <w:color w:val="0462C1"/>
            <w:sz w:val="24"/>
            <w:szCs w:val="24"/>
          </w:rPr>
          <w:t xml:space="preserve"> </w:t>
        </w:r>
        <w:r w:rsidRPr="00D500F1">
          <w:rPr>
            <w:rFonts w:ascii="Verdana" w:hAnsi="Verdana"/>
            <w:color w:val="0462C1"/>
            <w:sz w:val="24"/>
            <w:szCs w:val="24"/>
            <w:u w:val="single" w:color="0462C1"/>
          </w:rPr>
          <w:t>https://www.opr.ie/wp-content/uploads/2019/08/2007-</w:t>
        </w:r>
      </w:hyperlink>
      <w:hyperlink r:id="rId15">
        <w:r w:rsidRPr="00D500F1">
          <w:rPr>
            <w:rFonts w:ascii="Verdana" w:hAnsi="Verdana"/>
            <w:color w:val="0462C1"/>
            <w:sz w:val="24"/>
            <w:szCs w:val="24"/>
            <w:u w:val="single" w:color="0462C1"/>
          </w:rPr>
          <w:t xml:space="preserve"> Delivering-Homes-Sustaining-Communities-Hsing-Policy-1.pdf</w:t>
        </w:r>
        <w:r w:rsidRPr="00D500F1">
          <w:rPr>
            <w:rFonts w:ascii="Verdana" w:hAnsi="Verdana"/>
            <w:color w:val="0462C1"/>
            <w:spacing w:val="1"/>
            <w:sz w:val="24"/>
            <w:szCs w:val="24"/>
          </w:rPr>
          <w:t xml:space="preserve"> </w:t>
        </w:r>
      </w:hyperlink>
      <w:r w:rsidRPr="00D500F1">
        <w:rPr>
          <w:rFonts w:ascii="Verdana" w:hAnsi="Verdana"/>
          <w:sz w:val="24"/>
          <w:szCs w:val="24"/>
        </w:rPr>
        <w:t>)</w:t>
      </w:r>
    </w:p>
    <w:p w14:paraId="36006F15"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1024"/>
        <w:rPr>
          <w:rFonts w:ascii="Verdana" w:hAnsi="Verdana"/>
          <w:sz w:val="24"/>
          <w:szCs w:val="24"/>
        </w:rPr>
      </w:pPr>
      <w:r w:rsidRPr="00D500F1">
        <w:rPr>
          <w:rFonts w:ascii="Verdana" w:hAnsi="Verdana"/>
          <w:sz w:val="24"/>
          <w:szCs w:val="24"/>
        </w:rPr>
        <w:t xml:space="preserve">Standard Specification for Materials and Finishes for Social Housing </w:t>
      </w:r>
      <w:r w:rsidRPr="00D500F1">
        <w:rPr>
          <w:rFonts w:ascii="Verdana" w:hAnsi="Verdana"/>
          <w:spacing w:val="-1"/>
          <w:sz w:val="24"/>
          <w:szCs w:val="24"/>
        </w:rPr>
        <w:t>(</w:t>
      </w:r>
      <w:hyperlink r:id="rId16">
        <w:r w:rsidRPr="00D500F1">
          <w:rPr>
            <w:rFonts w:ascii="Verdana" w:hAnsi="Verdana"/>
            <w:color w:val="0462C1"/>
            <w:spacing w:val="-1"/>
            <w:sz w:val="24"/>
            <w:szCs w:val="24"/>
            <w:u w:val="single" w:color="0462C1"/>
          </w:rPr>
          <w:t>http://www.housing.old.gov.ie/housing/quality-housing-design-series/employers-</w:t>
        </w:r>
      </w:hyperlink>
      <w:hyperlink r:id="rId17">
        <w:r w:rsidRPr="00D500F1">
          <w:rPr>
            <w:rFonts w:ascii="Verdana" w:hAnsi="Verdana"/>
            <w:color w:val="0462C1"/>
            <w:spacing w:val="-1"/>
            <w:sz w:val="24"/>
            <w:szCs w:val="24"/>
            <w:u w:val="single" w:color="0462C1"/>
          </w:rPr>
          <w:t xml:space="preserve"> </w:t>
        </w:r>
        <w:r w:rsidRPr="00D500F1">
          <w:rPr>
            <w:rFonts w:ascii="Verdana" w:hAnsi="Verdana"/>
            <w:color w:val="0462C1"/>
            <w:sz w:val="24"/>
            <w:szCs w:val="24"/>
            <w:u w:val="single" w:color="0462C1"/>
          </w:rPr>
          <w:t>requirements-detail-design-quality-housing-0</w:t>
        </w:r>
        <w:r w:rsidRPr="00D500F1">
          <w:rPr>
            <w:rFonts w:ascii="Verdana" w:hAnsi="Verdana"/>
            <w:color w:val="0462C1"/>
            <w:spacing w:val="-3"/>
            <w:sz w:val="24"/>
            <w:szCs w:val="24"/>
          </w:rPr>
          <w:t xml:space="preserve"> </w:t>
        </w:r>
      </w:hyperlink>
      <w:r w:rsidRPr="00D500F1">
        <w:rPr>
          <w:rFonts w:ascii="Verdana" w:hAnsi="Verdana"/>
          <w:sz w:val="24"/>
          <w:szCs w:val="24"/>
        </w:rPr>
        <w:t>)</w:t>
      </w:r>
    </w:p>
    <w:p w14:paraId="49B23A57"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717"/>
        <w:rPr>
          <w:rFonts w:ascii="Verdana" w:hAnsi="Verdana"/>
          <w:sz w:val="24"/>
          <w:szCs w:val="24"/>
        </w:rPr>
      </w:pPr>
      <w:r w:rsidRPr="00D500F1">
        <w:rPr>
          <w:rFonts w:ascii="Verdana" w:hAnsi="Verdana"/>
          <w:sz w:val="24"/>
          <w:szCs w:val="24"/>
        </w:rPr>
        <w:t xml:space="preserve">Design Standards for New Apartments - Guidelines for Planning Authorities </w:t>
      </w:r>
      <w:r w:rsidRPr="00D500F1">
        <w:rPr>
          <w:rFonts w:ascii="Verdana" w:hAnsi="Verdana"/>
          <w:spacing w:val="-1"/>
          <w:sz w:val="24"/>
          <w:szCs w:val="24"/>
        </w:rPr>
        <w:t>(</w:t>
      </w:r>
      <w:hyperlink r:id="rId18">
        <w:r w:rsidRPr="00D500F1">
          <w:rPr>
            <w:rFonts w:ascii="Verdana" w:hAnsi="Verdana"/>
            <w:color w:val="0462C1"/>
            <w:spacing w:val="-1"/>
            <w:sz w:val="24"/>
            <w:szCs w:val="24"/>
            <w:u w:val="single" w:color="0462C1"/>
          </w:rPr>
          <w:t>http://www.housing.old.gov.ie/sites/default/files/publications/files/december_2020_-</w:t>
        </w:r>
      </w:hyperlink>
      <w:hyperlink r:id="rId19">
        <w:r w:rsidRPr="00D500F1">
          <w:rPr>
            <w:rFonts w:ascii="Verdana" w:hAnsi="Verdana"/>
            <w:color w:val="0462C1"/>
            <w:sz w:val="24"/>
            <w:szCs w:val="24"/>
            <w:u w:val="single" w:color="0462C1"/>
          </w:rPr>
          <w:t>_design_standards_for_new_apartments.pdf</w:t>
        </w:r>
        <w:r w:rsidRPr="00D500F1">
          <w:rPr>
            <w:rFonts w:ascii="Verdana" w:hAnsi="Verdana"/>
            <w:color w:val="0462C1"/>
            <w:sz w:val="24"/>
            <w:szCs w:val="24"/>
          </w:rPr>
          <w:t xml:space="preserve"> </w:t>
        </w:r>
      </w:hyperlink>
      <w:r w:rsidRPr="00D500F1">
        <w:rPr>
          <w:rFonts w:ascii="Verdana" w:hAnsi="Verdana"/>
          <w:sz w:val="24"/>
          <w:szCs w:val="24"/>
        </w:rPr>
        <w:t>)</w:t>
      </w:r>
    </w:p>
    <w:p w14:paraId="557500E8"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573"/>
        <w:rPr>
          <w:rFonts w:ascii="Verdana" w:hAnsi="Verdana"/>
          <w:sz w:val="24"/>
          <w:szCs w:val="24"/>
        </w:rPr>
      </w:pPr>
      <w:r w:rsidRPr="00D500F1">
        <w:rPr>
          <w:rFonts w:ascii="Verdana" w:hAnsi="Verdana"/>
          <w:sz w:val="24"/>
          <w:szCs w:val="24"/>
        </w:rPr>
        <w:t>Guidelines for Planning Authorities on Sustainable Residential Development in Urban Areas (Cities, Towns and Villages) 2009 (</w:t>
      </w:r>
      <w:hyperlink r:id="rId20">
        <w:r w:rsidRPr="00D500F1">
          <w:rPr>
            <w:rFonts w:ascii="Verdana" w:hAnsi="Verdana"/>
            <w:color w:val="0462C1"/>
            <w:sz w:val="24"/>
            <w:szCs w:val="24"/>
            <w:u w:val="single" w:color="0462C1"/>
          </w:rPr>
          <w:t>https://www.gov.ie/en/publication/a8c85-</w:t>
        </w:r>
      </w:hyperlink>
      <w:hyperlink r:id="rId21">
        <w:r w:rsidRPr="00D500F1">
          <w:rPr>
            <w:rFonts w:ascii="Verdana" w:hAnsi="Verdana"/>
            <w:color w:val="0462C1"/>
            <w:sz w:val="24"/>
            <w:szCs w:val="24"/>
            <w:u w:val="single" w:color="0462C1"/>
          </w:rPr>
          <w:t xml:space="preserve"> sustainable-residential-developments-in-urban-areas-guidelines-for-planning-</w:t>
        </w:r>
      </w:hyperlink>
      <w:hyperlink r:id="rId22">
        <w:r w:rsidRPr="00D500F1">
          <w:rPr>
            <w:rFonts w:ascii="Verdana" w:hAnsi="Verdana"/>
            <w:color w:val="0462C1"/>
            <w:sz w:val="24"/>
            <w:szCs w:val="24"/>
            <w:u w:val="single" w:color="0462C1"/>
          </w:rPr>
          <w:t xml:space="preserve"> authorities-may-09/</w:t>
        </w:r>
        <w:r w:rsidRPr="00D500F1">
          <w:rPr>
            <w:rFonts w:ascii="Verdana" w:hAnsi="Verdana"/>
            <w:color w:val="0462C1"/>
            <w:spacing w:val="-1"/>
            <w:sz w:val="24"/>
            <w:szCs w:val="24"/>
          </w:rPr>
          <w:t xml:space="preserve"> </w:t>
        </w:r>
      </w:hyperlink>
      <w:r w:rsidRPr="00D500F1">
        <w:rPr>
          <w:rFonts w:ascii="Verdana" w:hAnsi="Verdana"/>
          <w:sz w:val="24"/>
          <w:szCs w:val="24"/>
        </w:rPr>
        <w:t>)</w:t>
      </w:r>
    </w:p>
    <w:p w14:paraId="04B0B44E" w14:textId="77777777" w:rsidR="00F60A68" w:rsidRPr="00D500F1" w:rsidRDefault="00D81505" w:rsidP="00D500F1">
      <w:pPr>
        <w:pStyle w:val="ListParagraph"/>
        <w:numPr>
          <w:ilvl w:val="3"/>
          <w:numId w:val="1"/>
        </w:numPr>
        <w:tabs>
          <w:tab w:val="left" w:pos="1120"/>
          <w:tab w:val="left" w:pos="1121"/>
        </w:tabs>
        <w:spacing w:before="120" w:after="200" w:line="276" w:lineRule="auto"/>
        <w:ind w:right="1168"/>
        <w:rPr>
          <w:rFonts w:ascii="Verdana" w:hAnsi="Verdana"/>
          <w:sz w:val="24"/>
          <w:szCs w:val="24"/>
        </w:rPr>
      </w:pPr>
      <w:r w:rsidRPr="00D500F1">
        <w:rPr>
          <w:rFonts w:ascii="Verdana" w:hAnsi="Verdana"/>
          <w:sz w:val="24"/>
          <w:szCs w:val="24"/>
        </w:rPr>
        <w:lastRenderedPageBreak/>
        <w:t xml:space="preserve">Design Manual For Urban Roads and Streets, 2019 </w:t>
      </w:r>
      <w:r w:rsidRPr="00D500F1">
        <w:rPr>
          <w:rFonts w:ascii="Verdana" w:hAnsi="Verdana"/>
          <w:spacing w:val="-1"/>
          <w:sz w:val="24"/>
          <w:szCs w:val="24"/>
        </w:rPr>
        <w:t>(</w:t>
      </w:r>
      <w:hyperlink r:id="rId23">
        <w:r w:rsidRPr="00D500F1">
          <w:rPr>
            <w:rFonts w:ascii="Verdana" w:hAnsi="Verdana"/>
            <w:color w:val="0462C1"/>
            <w:spacing w:val="-1"/>
            <w:sz w:val="24"/>
            <w:szCs w:val="24"/>
            <w:u w:val="single" w:color="0462C1"/>
          </w:rPr>
          <w:t>https://www.gov.ie/en/publication/3360b1-design-manual-for-urban-roads-and-</w:t>
        </w:r>
      </w:hyperlink>
      <w:hyperlink r:id="rId24">
        <w:r w:rsidRPr="00D500F1">
          <w:rPr>
            <w:rFonts w:ascii="Verdana" w:hAnsi="Verdana"/>
            <w:color w:val="0462C1"/>
            <w:spacing w:val="-1"/>
            <w:sz w:val="24"/>
            <w:szCs w:val="24"/>
            <w:u w:val="single" w:color="0462C1"/>
          </w:rPr>
          <w:t xml:space="preserve"> </w:t>
        </w:r>
        <w:r w:rsidRPr="00D500F1">
          <w:rPr>
            <w:rFonts w:ascii="Verdana" w:hAnsi="Verdana"/>
            <w:color w:val="0462C1"/>
            <w:sz w:val="24"/>
            <w:szCs w:val="24"/>
            <w:u w:val="single" w:color="0462C1"/>
          </w:rPr>
          <w:t>streets/</w:t>
        </w:r>
      </w:hyperlink>
      <w:r w:rsidRPr="00D500F1">
        <w:rPr>
          <w:rFonts w:ascii="Verdana" w:hAnsi="Verdana"/>
          <w:sz w:val="24"/>
          <w:szCs w:val="24"/>
        </w:rPr>
        <w:t>)</w:t>
      </w:r>
    </w:p>
    <w:p w14:paraId="0A01B6A8" w14:textId="77777777" w:rsidR="00F60A68" w:rsidRPr="00D500F1" w:rsidRDefault="00D81505" w:rsidP="00D500F1">
      <w:pPr>
        <w:pStyle w:val="ListParagraph"/>
        <w:numPr>
          <w:ilvl w:val="3"/>
          <w:numId w:val="1"/>
        </w:numPr>
        <w:tabs>
          <w:tab w:val="left" w:pos="1120"/>
          <w:tab w:val="left" w:pos="1121"/>
        </w:tabs>
        <w:spacing w:before="120" w:after="200" w:line="276" w:lineRule="auto"/>
        <w:ind w:hanging="361"/>
        <w:rPr>
          <w:rFonts w:ascii="Verdana" w:hAnsi="Verdana"/>
          <w:sz w:val="24"/>
          <w:szCs w:val="24"/>
        </w:rPr>
      </w:pPr>
      <w:r w:rsidRPr="00D500F1">
        <w:rPr>
          <w:rFonts w:ascii="Verdana" w:hAnsi="Verdana"/>
          <w:sz w:val="24"/>
          <w:szCs w:val="24"/>
        </w:rPr>
        <w:t>Building Control Regulations 1997 – 2015, as</w:t>
      </w:r>
      <w:r w:rsidRPr="00D500F1">
        <w:rPr>
          <w:rFonts w:ascii="Verdana" w:hAnsi="Verdana"/>
          <w:spacing w:val="-3"/>
          <w:sz w:val="24"/>
          <w:szCs w:val="24"/>
        </w:rPr>
        <w:t xml:space="preserve"> </w:t>
      </w:r>
      <w:r w:rsidRPr="00D500F1">
        <w:rPr>
          <w:rFonts w:ascii="Verdana" w:hAnsi="Verdana"/>
          <w:sz w:val="24"/>
          <w:szCs w:val="24"/>
        </w:rPr>
        <w:t>amended.</w:t>
      </w:r>
    </w:p>
    <w:p w14:paraId="7EC905D9"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Return of</w:t>
      </w:r>
      <w:r w:rsidRPr="00D500F1">
        <w:rPr>
          <w:rFonts w:ascii="Verdana" w:hAnsi="Verdana"/>
          <w:color w:val="4B6280"/>
          <w:spacing w:val="1"/>
          <w:sz w:val="24"/>
          <w:szCs w:val="24"/>
        </w:rPr>
        <w:t xml:space="preserve"> </w:t>
      </w:r>
      <w:r w:rsidRPr="00D500F1">
        <w:rPr>
          <w:rFonts w:ascii="Verdana" w:hAnsi="Verdana"/>
          <w:color w:val="4B6280"/>
          <w:sz w:val="24"/>
          <w:szCs w:val="24"/>
        </w:rPr>
        <w:t>submissions</w:t>
      </w:r>
    </w:p>
    <w:p w14:paraId="00F2463B" w14:textId="77777777" w:rsidR="00F60A68" w:rsidRPr="00D500F1" w:rsidRDefault="00D81505" w:rsidP="00D500F1">
      <w:pPr>
        <w:pStyle w:val="BodyText"/>
        <w:spacing w:before="120" w:after="200" w:line="276" w:lineRule="auto"/>
        <w:ind w:left="400" w:right="1596"/>
        <w:rPr>
          <w:rFonts w:ascii="Verdana" w:hAnsi="Verdana"/>
          <w:sz w:val="24"/>
          <w:szCs w:val="24"/>
        </w:rPr>
      </w:pPr>
      <w:r w:rsidRPr="00D500F1">
        <w:rPr>
          <w:rFonts w:ascii="Verdana" w:hAnsi="Verdana"/>
          <w:sz w:val="24"/>
          <w:szCs w:val="24"/>
        </w:rPr>
        <w:t>Submissions can be made in writing or by email and should include all information requested.</w:t>
      </w:r>
    </w:p>
    <w:p w14:paraId="697CE43A" w14:textId="77777777" w:rsidR="00F60A68" w:rsidRPr="00D500F1" w:rsidRDefault="00D81505" w:rsidP="00D500F1">
      <w:pPr>
        <w:pStyle w:val="BodyText"/>
        <w:spacing w:before="120" w:after="200" w:line="276" w:lineRule="auto"/>
        <w:ind w:left="400" w:right="1070"/>
        <w:rPr>
          <w:rFonts w:ascii="Verdana" w:hAnsi="Verdana"/>
          <w:sz w:val="24"/>
          <w:szCs w:val="24"/>
        </w:rPr>
      </w:pPr>
      <w:r w:rsidRPr="00D500F1">
        <w:rPr>
          <w:rFonts w:ascii="Verdana" w:hAnsi="Verdana"/>
          <w:sz w:val="24"/>
          <w:szCs w:val="24"/>
        </w:rPr>
        <w:t>Written submission should be enclosed in a sealed envelope marked and addressed as follows:</w:t>
      </w:r>
    </w:p>
    <w:p w14:paraId="774C7802" w14:textId="46917A39" w:rsidR="00F60A68" w:rsidRPr="00D500F1" w:rsidRDefault="00D81505" w:rsidP="00D500F1">
      <w:pPr>
        <w:pStyle w:val="BodyText"/>
        <w:spacing w:before="120" w:after="200" w:line="276" w:lineRule="auto"/>
        <w:ind w:left="400" w:right="1397"/>
        <w:rPr>
          <w:rFonts w:ascii="Verdana" w:hAnsi="Verdana"/>
          <w:sz w:val="24"/>
          <w:szCs w:val="24"/>
        </w:rPr>
      </w:pPr>
      <w:r w:rsidRPr="00D500F1">
        <w:rPr>
          <w:rFonts w:ascii="Verdana" w:hAnsi="Verdana"/>
          <w:sz w:val="24"/>
          <w:szCs w:val="24"/>
        </w:rPr>
        <w:t xml:space="preserve">“Expressions of Interest for the Provision of Turnkey Housing Developments” to </w:t>
      </w:r>
      <w:r w:rsidR="0012661B" w:rsidRPr="00D500F1">
        <w:rPr>
          <w:rFonts w:ascii="Verdana" w:hAnsi="Verdana"/>
          <w:sz w:val="24"/>
          <w:szCs w:val="24"/>
        </w:rPr>
        <w:t>Tipperary County Council</w:t>
      </w:r>
      <w:r w:rsidRPr="00D500F1">
        <w:rPr>
          <w:rFonts w:ascii="Verdana" w:hAnsi="Verdana"/>
          <w:sz w:val="24"/>
          <w:szCs w:val="24"/>
        </w:rPr>
        <w:t xml:space="preserve"> F.A.O. </w:t>
      </w:r>
      <w:r w:rsidR="005F5A25">
        <w:rPr>
          <w:rFonts w:ascii="Verdana" w:hAnsi="Verdana"/>
          <w:sz w:val="24"/>
          <w:szCs w:val="24"/>
        </w:rPr>
        <w:t>Affordable Housing</w:t>
      </w:r>
    </w:p>
    <w:p w14:paraId="4BA4E275" w14:textId="02A239BB" w:rsidR="00F60A68" w:rsidRPr="00D500F1" w:rsidRDefault="00D81505" w:rsidP="00D500F1">
      <w:pPr>
        <w:pStyle w:val="BodyText"/>
        <w:spacing w:before="120" w:after="200" w:line="276" w:lineRule="auto"/>
        <w:ind w:left="400" w:right="1129"/>
        <w:rPr>
          <w:rFonts w:ascii="Verdana" w:hAnsi="Verdana"/>
          <w:sz w:val="24"/>
          <w:szCs w:val="24"/>
        </w:rPr>
      </w:pPr>
      <w:r w:rsidRPr="00D500F1">
        <w:rPr>
          <w:rFonts w:ascii="Verdana" w:hAnsi="Verdana"/>
          <w:sz w:val="24"/>
          <w:szCs w:val="24"/>
        </w:rPr>
        <w:t xml:space="preserve">Email submissions should be sent to </w:t>
      </w:r>
      <w:hyperlink r:id="rId25" w:history="1">
        <w:r w:rsidR="003A75A8" w:rsidRPr="00EE513E">
          <w:rPr>
            <w:rStyle w:val="Hyperlink"/>
            <w:rFonts w:ascii="Verdana" w:hAnsi="Verdana"/>
            <w:sz w:val="24"/>
            <w:szCs w:val="24"/>
            <w:highlight w:val="yellow"/>
          </w:rPr>
          <w:t>affordablehousing@tipperarycoco.ie</w:t>
        </w:r>
      </w:hyperlink>
      <w:r w:rsidR="003A75A8">
        <w:rPr>
          <w:rFonts w:ascii="Verdana" w:hAnsi="Verdana"/>
          <w:sz w:val="24"/>
          <w:szCs w:val="24"/>
          <w:highlight w:val="yellow"/>
        </w:rPr>
        <w:t xml:space="preserve"> </w:t>
      </w:r>
    </w:p>
    <w:p w14:paraId="0F90748E" w14:textId="57B45D8B" w:rsidR="00F60A68" w:rsidRPr="00D500F1" w:rsidRDefault="0012661B" w:rsidP="00D500F1">
      <w:pPr>
        <w:pStyle w:val="BodyText"/>
        <w:spacing w:before="120" w:after="200" w:line="276" w:lineRule="auto"/>
        <w:ind w:left="400" w:right="837"/>
        <w:rPr>
          <w:rFonts w:ascii="Verdana" w:hAnsi="Verdana"/>
          <w:sz w:val="24"/>
          <w:szCs w:val="24"/>
        </w:rPr>
      </w:pPr>
      <w:r w:rsidRPr="00D500F1">
        <w:rPr>
          <w:rFonts w:ascii="Verdana" w:hAnsi="Verdana"/>
          <w:sz w:val="24"/>
          <w:szCs w:val="24"/>
        </w:rPr>
        <w:t xml:space="preserve">Tipperary County Council </w:t>
      </w:r>
      <w:r w:rsidR="00D81505" w:rsidRPr="00D500F1">
        <w:rPr>
          <w:rFonts w:ascii="Verdana" w:hAnsi="Verdana"/>
          <w:sz w:val="24"/>
          <w:szCs w:val="24"/>
        </w:rPr>
        <w:t xml:space="preserve">would encourage interested parties that believe they fit within the above criteria and that are interested in exploring a forward purchasing agreement with the Council to complete and return the Expression of Interest Application Form as soon as possible, preferably by </w:t>
      </w:r>
      <w:r w:rsidR="00671EDD">
        <w:rPr>
          <w:rFonts w:ascii="Verdana" w:hAnsi="Verdana"/>
          <w:sz w:val="24"/>
          <w:szCs w:val="24"/>
          <w:highlight w:val="yellow"/>
        </w:rPr>
        <w:t>20</w:t>
      </w:r>
      <w:r w:rsidR="00671EDD" w:rsidRPr="00671EDD">
        <w:rPr>
          <w:rFonts w:ascii="Verdana" w:hAnsi="Verdana"/>
          <w:sz w:val="24"/>
          <w:szCs w:val="24"/>
          <w:highlight w:val="yellow"/>
          <w:vertAlign w:val="superscript"/>
        </w:rPr>
        <w:t>th</w:t>
      </w:r>
      <w:r w:rsidR="00671EDD">
        <w:rPr>
          <w:rFonts w:ascii="Verdana" w:hAnsi="Verdana"/>
          <w:sz w:val="24"/>
          <w:szCs w:val="24"/>
          <w:highlight w:val="yellow"/>
        </w:rPr>
        <w:t xml:space="preserve"> June</w:t>
      </w:r>
      <w:r w:rsidR="005F5A25">
        <w:rPr>
          <w:rFonts w:ascii="Verdana" w:hAnsi="Verdana"/>
          <w:sz w:val="24"/>
          <w:szCs w:val="24"/>
          <w:highlight w:val="yellow"/>
        </w:rPr>
        <w:t xml:space="preserve"> 2024 4pm</w:t>
      </w:r>
      <w:r w:rsidR="00F308C3">
        <w:rPr>
          <w:rFonts w:ascii="Verdana" w:hAnsi="Verdana"/>
          <w:sz w:val="24"/>
          <w:szCs w:val="24"/>
          <w:highlight w:val="yellow"/>
        </w:rPr>
        <w:t xml:space="preserve"> for this</w:t>
      </w:r>
      <w:r w:rsidR="00D81505" w:rsidRPr="00D500F1">
        <w:rPr>
          <w:rFonts w:ascii="Verdana" w:hAnsi="Verdana"/>
          <w:sz w:val="24"/>
          <w:szCs w:val="24"/>
        </w:rPr>
        <w:t xml:space="preserve"> call.</w:t>
      </w:r>
    </w:p>
    <w:p w14:paraId="33D41B17" w14:textId="77777777" w:rsidR="00F60A68" w:rsidRPr="00D500F1" w:rsidRDefault="00D81505" w:rsidP="00D500F1">
      <w:pPr>
        <w:pStyle w:val="Heading1"/>
        <w:numPr>
          <w:ilvl w:val="0"/>
          <w:numId w:val="2"/>
        </w:numPr>
        <w:tabs>
          <w:tab w:val="left" w:pos="1121"/>
        </w:tabs>
        <w:spacing w:before="120" w:after="200" w:line="276" w:lineRule="auto"/>
        <w:ind w:hanging="361"/>
        <w:jc w:val="left"/>
        <w:rPr>
          <w:rFonts w:ascii="Verdana" w:hAnsi="Verdana"/>
          <w:color w:val="4B6280"/>
          <w:sz w:val="24"/>
          <w:szCs w:val="24"/>
        </w:rPr>
      </w:pPr>
      <w:r w:rsidRPr="00D500F1">
        <w:rPr>
          <w:rFonts w:ascii="Verdana" w:hAnsi="Verdana"/>
          <w:color w:val="4B6280"/>
          <w:sz w:val="24"/>
          <w:szCs w:val="24"/>
        </w:rPr>
        <w:t>Disclaimer</w:t>
      </w:r>
    </w:p>
    <w:p w14:paraId="6B202156" w14:textId="77777777" w:rsidR="00F60A68" w:rsidRPr="00D500F1" w:rsidRDefault="0012661B" w:rsidP="00D500F1">
      <w:pPr>
        <w:pStyle w:val="BodyText"/>
        <w:spacing w:before="120" w:after="200" w:line="276" w:lineRule="auto"/>
        <w:ind w:left="400" w:right="716"/>
        <w:rPr>
          <w:rFonts w:ascii="Verdana" w:hAnsi="Verdana"/>
          <w:sz w:val="24"/>
          <w:szCs w:val="24"/>
        </w:rPr>
      </w:pPr>
      <w:r w:rsidRPr="00D500F1">
        <w:rPr>
          <w:rFonts w:ascii="Verdana" w:hAnsi="Verdana"/>
          <w:sz w:val="24"/>
          <w:szCs w:val="24"/>
        </w:rPr>
        <w:t xml:space="preserve">Tipperary County Council </w:t>
      </w:r>
      <w:r w:rsidR="00D81505" w:rsidRPr="00D500F1">
        <w:rPr>
          <w:rFonts w:ascii="Verdana" w:hAnsi="Verdana"/>
          <w:sz w:val="24"/>
          <w:szCs w:val="24"/>
        </w:rPr>
        <w:t>has prepared and issued this document for the sole purpose of inviting expressions of interest from potential vendors. This document does not purport to be, in any way, comprehensive in respect of all matters relevant to the Council’s requirements.</w:t>
      </w:r>
    </w:p>
    <w:p w14:paraId="4AABD43B" w14:textId="77777777" w:rsidR="00F60A68" w:rsidRPr="00D500F1" w:rsidRDefault="00D81505" w:rsidP="00D500F1">
      <w:pPr>
        <w:pStyle w:val="BodyText"/>
        <w:spacing w:before="120" w:after="200" w:line="276" w:lineRule="auto"/>
        <w:ind w:left="400" w:right="691"/>
        <w:rPr>
          <w:rFonts w:ascii="Verdana" w:hAnsi="Verdana"/>
          <w:sz w:val="24"/>
          <w:szCs w:val="24"/>
        </w:rPr>
      </w:pPr>
      <w:r w:rsidRPr="00D500F1">
        <w:rPr>
          <w:rFonts w:ascii="Verdana" w:hAnsi="Verdana"/>
          <w:sz w:val="24"/>
          <w:szCs w:val="24"/>
        </w:rPr>
        <w:t xml:space="preserve">Nothing in this document constitutes an offer to enter into a contract, or a commitment or representation to enter into a contractual arrangement. No legal relationship or other obligation shall arise between </w:t>
      </w:r>
      <w:r w:rsidR="0012661B" w:rsidRPr="00D500F1">
        <w:rPr>
          <w:rFonts w:ascii="Verdana" w:hAnsi="Verdana"/>
          <w:sz w:val="24"/>
          <w:szCs w:val="24"/>
        </w:rPr>
        <w:t xml:space="preserve">Tipperary County Council </w:t>
      </w:r>
      <w:r w:rsidRPr="00D500F1">
        <w:rPr>
          <w:rFonts w:ascii="Verdana" w:hAnsi="Verdana"/>
          <w:sz w:val="24"/>
          <w:szCs w:val="24"/>
        </w:rPr>
        <w:t>and any interested party until formal legal agreements have been put in place and any deposit paid.</w:t>
      </w:r>
    </w:p>
    <w:p w14:paraId="3CF9BC2B" w14:textId="77777777" w:rsidR="00F60A68" w:rsidRPr="00D500F1" w:rsidRDefault="0012661B" w:rsidP="00D500F1">
      <w:pPr>
        <w:pStyle w:val="BodyText"/>
        <w:spacing w:before="120" w:after="200" w:line="276" w:lineRule="auto"/>
        <w:ind w:left="400" w:right="1181"/>
        <w:rPr>
          <w:rFonts w:ascii="Verdana" w:hAnsi="Verdana"/>
          <w:sz w:val="24"/>
          <w:szCs w:val="24"/>
        </w:rPr>
      </w:pPr>
      <w:r w:rsidRPr="00D500F1">
        <w:rPr>
          <w:rFonts w:ascii="Verdana" w:hAnsi="Verdana"/>
          <w:sz w:val="24"/>
          <w:szCs w:val="24"/>
        </w:rPr>
        <w:t xml:space="preserve">Tipperary County </w:t>
      </w:r>
      <w:r w:rsidR="00D81505" w:rsidRPr="00D500F1">
        <w:rPr>
          <w:rFonts w:ascii="Verdana" w:hAnsi="Verdana"/>
          <w:sz w:val="24"/>
          <w:szCs w:val="24"/>
        </w:rPr>
        <w:t>Council reserves the right to withdraw its request for Expressions of Interest and to alter any aspect of it at its sole discretion.</w:t>
      </w:r>
    </w:p>
    <w:p w14:paraId="53B48434" w14:textId="29B9C820" w:rsidR="002314B7" w:rsidRPr="000465B8" w:rsidRDefault="00D81505" w:rsidP="00D500F1">
      <w:pPr>
        <w:pStyle w:val="BodyText"/>
        <w:spacing w:before="120" w:after="200" w:line="276" w:lineRule="auto"/>
        <w:ind w:left="400" w:right="1266"/>
        <w:rPr>
          <w:rFonts w:ascii="Verdana" w:hAnsi="Verdana"/>
        </w:rPr>
        <w:sectPr w:rsidR="002314B7" w:rsidRPr="000465B8" w:rsidSect="00D81505">
          <w:footerReference w:type="default" r:id="rId26"/>
          <w:type w:val="continuous"/>
          <w:pgSz w:w="11910" w:h="16840"/>
          <w:pgMar w:top="880" w:right="600" w:bottom="600" w:left="1100" w:header="0" w:footer="404" w:gutter="0"/>
          <w:cols w:space="720"/>
          <w:docGrid w:linePitch="299"/>
        </w:sectPr>
      </w:pPr>
      <w:r w:rsidRPr="000465B8">
        <w:rPr>
          <w:rFonts w:ascii="Verdana" w:hAnsi="Verdana"/>
        </w:rPr>
        <w:t xml:space="preserve">Each completed Expression of Interest which is returned to </w:t>
      </w:r>
      <w:r w:rsidR="0012661B" w:rsidRPr="000465B8">
        <w:rPr>
          <w:rFonts w:ascii="Verdana" w:hAnsi="Verdana"/>
        </w:rPr>
        <w:t xml:space="preserve">Tipperary County Council </w:t>
      </w:r>
      <w:r w:rsidRPr="000465B8">
        <w:rPr>
          <w:rFonts w:ascii="Verdana" w:hAnsi="Verdana"/>
        </w:rPr>
        <w:t xml:space="preserve">constitutes agreement to, and acceptance of, this </w:t>
      </w:r>
      <w:r w:rsidR="00401BD4" w:rsidRPr="000465B8">
        <w:rPr>
          <w:rFonts w:ascii="Verdana" w:hAnsi="Verdana"/>
        </w:rPr>
        <w:t>d</w:t>
      </w:r>
      <w:r w:rsidRPr="000465B8">
        <w:rPr>
          <w:rFonts w:ascii="Verdana" w:hAnsi="Verdana"/>
        </w:rPr>
        <w:t>isclaimer.</w:t>
      </w:r>
    </w:p>
    <w:p w14:paraId="4F409CC6" w14:textId="77777777" w:rsidR="00F60A68" w:rsidRPr="00D500F1" w:rsidRDefault="00D81505" w:rsidP="00D500F1">
      <w:pPr>
        <w:pStyle w:val="Heading1"/>
        <w:numPr>
          <w:ilvl w:val="0"/>
          <w:numId w:val="2"/>
        </w:numPr>
        <w:tabs>
          <w:tab w:val="left" w:pos="545"/>
        </w:tabs>
        <w:spacing w:before="120" w:after="200" w:line="276" w:lineRule="auto"/>
        <w:ind w:left="544" w:hanging="429"/>
        <w:jc w:val="left"/>
        <w:rPr>
          <w:rFonts w:ascii="Verdana" w:hAnsi="Verdana"/>
          <w:color w:val="4B6280"/>
          <w:sz w:val="24"/>
          <w:szCs w:val="24"/>
        </w:rPr>
      </w:pPr>
      <w:r w:rsidRPr="00D500F1">
        <w:rPr>
          <w:rFonts w:ascii="Verdana" w:hAnsi="Verdana"/>
          <w:color w:val="4B6280"/>
          <w:sz w:val="24"/>
          <w:szCs w:val="24"/>
        </w:rPr>
        <w:lastRenderedPageBreak/>
        <w:t>Sample stage 1 Marking</w:t>
      </w:r>
      <w:r w:rsidRPr="00D500F1">
        <w:rPr>
          <w:rFonts w:ascii="Verdana" w:hAnsi="Verdana"/>
          <w:color w:val="4B6280"/>
          <w:spacing w:val="-4"/>
          <w:sz w:val="24"/>
          <w:szCs w:val="24"/>
        </w:rPr>
        <w:t xml:space="preserve"> </w:t>
      </w:r>
      <w:r w:rsidRPr="00D500F1">
        <w:rPr>
          <w:rFonts w:ascii="Verdana" w:hAnsi="Verdana"/>
          <w:color w:val="4B6280"/>
          <w:sz w:val="24"/>
          <w:szCs w:val="24"/>
        </w:rPr>
        <w:t>Sheet</w:t>
      </w:r>
    </w:p>
    <w:p w14:paraId="7CCB489E" w14:textId="77777777" w:rsidR="00F60A68" w:rsidRPr="00D500F1" w:rsidRDefault="00F60A68" w:rsidP="00D500F1">
      <w:pPr>
        <w:pStyle w:val="BodyText"/>
        <w:spacing w:before="120" w:after="200" w:line="276" w:lineRule="auto"/>
        <w:rPr>
          <w:rFonts w:ascii="Verdana" w:hAnsi="Verdana"/>
          <w:b/>
          <w:sz w:val="24"/>
          <w:szCs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
        <w:gridCol w:w="2102"/>
        <w:gridCol w:w="1181"/>
        <w:gridCol w:w="1701"/>
        <w:gridCol w:w="2083"/>
        <w:gridCol w:w="1425"/>
        <w:gridCol w:w="1428"/>
        <w:gridCol w:w="1425"/>
        <w:gridCol w:w="2659"/>
      </w:tblGrid>
      <w:tr w:rsidR="00F60A68" w:rsidRPr="00D500F1" w14:paraId="31FC3A47" w14:textId="77777777">
        <w:trPr>
          <w:trHeight w:val="292"/>
        </w:trPr>
        <w:tc>
          <w:tcPr>
            <w:tcW w:w="14559" w:type="dxa"/>
            <w:gridSpan w:val="9"/>
          </w:tcPr>
          <w:p w14:paraId="1DADDCCC"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Evaluation of Turnkey affordable and mixed tenure submission – Stage 1 Marking sheet</w:t>
            </w:r>
          </w:p>
        </w:tc>
      </w:tr>
      <w:tr w:rsidR="00F60A68" w:rsidRPr="00D500F1" w14:paraId="3C0DBB0D" w14:textId="77777777" w:rsidTr="00243EDF">
        <w:trPr>
          <w:trHeight w:val="290"/>
        </w:trPr>
        <w:tc>
          <w:tcPr>
            <w:tcW w:w="3838" w:type="dxa"/>
            <w:gridSpan w:val="3"/>
          </w:tcPr>
          <w:p w14:paraId="34548A2A"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Fields to be complete by LA</w:t>
            </w:r>
          </w:p>
        </w:tc>
        <w:tc>
          <w:tcPr>
            <w:tcW w:w="10721" w:type="dxa"/>
            <w:gridSpan w:val="6"/>
          </w:tcPr>
          <w:p w14:paraId="2A4534F7" w14:textId="77777777" w:rsidR="00F60A68" w:rsidRPr="00D500F1" w:rsidRDefault="00D81505" w:rsidP="00D500F1">
            <w:pPr>
              <w:pStyle w:val="TableParagraph"/>
              <w:spacing w:before="120" w:after="200" w:line="276" w:lineRule="auto"/>
              <w:ind w:left="106"/>
              <w:rPr>
                <w:rFonts w:ascii="Verdana" w:hAnsi="Verdana"/>
                <w:sz w:val="24"/>
                <w:szCs w:val="24"/>
              </w:rPr>
            </w:pPr>
            <w:r w:rsidRPr="00D500F1">
              <w:rPr>
                <w:rFonts w:ascii="Verdana" w:hAnsi="Verdana"/>
                <w:sz w:val="24"/>
                <w:szCs w:val="24"/>
              </w:rPr>
              <w:t>Fields to be filled by Evaluation Panel</w:t>
            </w:r>
          </w:p>
        </w:tc>
      </w:tr>
      <w:tr w:rsidR="00F60A68" w:rsidRPr="00D500F1" w14:paraId="7B17D647" w14:textId="77777777" w:rsidTr="00243EDF">
        <w:trPr>
          <w:trHeight w:val="873"/>
        </w:trPr>
        <w:tc>
          <w:tcPr>
            <w:tcW w:w="555" w:type="dxa"/>
          </w:tcPr>
          <w:p w14:paraId="75CDBAF6" w14:textId="77777777" w:rsidR="00F60A68" w:rsidRPr="00D500F1" w:rsidRDefault="00F60A68" w:rsidP="00D500F1">
            <w:pPr>
              <w:pStyle w:val="TableParagraph"/>
              <w:spacing w:before="120" w:after="200" w:line="276" w:lineRule="auto"/>
              <w:rPr>
                <w:rFonts w:ascii="Verdana" w:hAnsi="Verdana"/>
                <w:sz w:val="24"/>
                <w:szCs w:val="24"/>
              </w:rPr>
            </w:pPr>
          </w:p>
        </w:tc>
        <w:tc>
          <w:tcPr>
            <w:tcW w:w="2102" w:type="dxa"/>
          </w:tcPr>
          <w:p w14:paraId="708A5604"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Name</w:t>
            </w:r>
          </w:p>
        </w:tc>
        <w:tc>
          <w:tcPr>
            <w:tcW w:w="1181" w:type="dxa"/>
          </w:tcPr>
          <w:p w14:paraId="0612D1F7" w14:textId="77777777" w:rsidR="00F60A68" w:rsidRPr="00D500F1" w:rsidRDefault="00D81505" w:rsidP="00D500F1">
            <w:pPr>
              <w:pStyle w:val="TableParagraph"/>
              <w:spacing w:before="120" w:after="200" w:line="276" w:lineRule="auto"/>
              <w:ind w:left="105"/>
              <w:rPr>
                <w:rFonts w:ascii="Verdana" w:hAnsi="Verdana"/>
                <w:sz w:val="24"/>
                <w:szCs w:val="24"/>
              </w:rPr>
            </w:pPr>
            <w:r w:rsidRPr="00D500F1">
              <w:rPr>
                <w:rFonts w:ascii="Verdana" w:hAnsi="Verdana"/>
                <w:sz w:val="24"/>
                <w:szCs w:val="24"/>
              </w:rPr>
              <w:t>Address of site</w:t>
            </w:r>
          </w:p>
        </w:tc>
        <w:tc>
          <w:tcPr>
            <w:tcW w:w="1701" w:type="dxa"/>
          </w:tcPr>
          <w:p w14:paraId="754A57F5" w14:textId="35ECBB25" w:rsidR="00F60A68" w:rsidRPr="00D500F1" w:rsidRDefault="00D81505" w:rsidP="00243EDF">
            <w:pPr>
              <w:pStyle w:val="TableParagraph"/>
              <w:spacing w:before="120" w:after="200" w:line="276" w:lineRule="auto"/>
              <w:ind w:left="106"/>
              <w:rPr>
                <w:rFonts w:ascii="Verdana" w:hAnsi="Verdana"/>
                <w:sz w:val="24"/>
                <w:szCs w:val="24"/>
              </w:rPr>
            </w:pPr>
            <w:r w:rsidRPr="00D500F1">
              <w:rPr>
                <w:rFonts w:ascii="Verdana" w:hAnsi="Verdana"/>
                <w:sz w:val="24"/>
                <w:szCs w:val="24"/>
              </w:rPr>
              <w:t>Location</w:t>
            </w:r>
            <w:r w:rsidR="00243EDF">
              <w:rPr>
                <w:rFonts w:ascii="Verdana" w:hAnsi="Verdana"/>
                <w:sz w:val="24"/>
                <w:szCs w:val="24"/>
              </w:rPr>
              <w:t xml:space="preserve"> </w:t>
            </w:r>
            <w:r w:rsidRPr="00D500F1">
              <w:rPr>
                <w:rFonts w:ascii="Verdana" w:hAnsi="Verdana"/>
                <w:sz w:val="24"/>
                <w:szCs w:val="24"/>
              </w:rPr>
              <w:t>and suitability</w:t>
            </w:r>
          </w:p>
        </w:tc>
        <w:tc>
          <w:tcPr>
            <w:tcW w:w="2083" w:type="dxa"/>
          </w:tcPr>
          <w:p w14:paraId="401D4C5D" w14:textId="6B25B227" w:rsidR="00F60A68" w:rsidRPr="00D500F1" w:rsidRDefault="00250FC7" w:rsidP="00D500F1">
            <w:pPr>
              <w:pStyle w:val="TableParagraph"/>
              <w:spacing w:before="120" w:after="200" w:line="276" w:lineRule="auto"/>
              <w:ind w:left="109" w:right="90"/>
              <w:rPr>
                <w:rFonts w:ascii="Verdana" w:hAnsi="Verdana"/>
                <w:sz w:val="24"/>
                <w:szCs w:val="24"/>
              </w:rPr>
            </w:pPr>
            <w:r>
              <w:rPr>
                <w:rFonts w:ascii="Verdana" w:hAnsi="Verdana"/>
                <w:sz w:val="24"/>
                <w:szCs w:val="24"/>
              </w:rPr>
              <w:t>Cost per unit</w:t>
            </w:r>
          </w:p>
        </w:tc>
        <w:tc>
          <w:tcPr>
            <w:tcW w:w="1425" w:type="dxa"/>
          </w:tcPr>
          <w:p w14:paraId="3F075717"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Necessary</w:t>
            </w:r>
          </w:p>
          <w:p w14:paraId="17A4D5E4" w14:textId="77777777" w:rsidR="00F60A68" w:rsidRPr="00D500F1" w:rsidRDefault="00D81505" w:rsidP="00D500F1">
            <w:pPr>
              <w:pStyle w:val="TableParagraph"/>
              <w:spacing w:before="120" w:after="200" w:line="276" w:lineRule="auto"/>
              <w:ind w:left="107" w:right="419"/>
              <w:rPr>
                <w:rFonts w:ascii="Verdana" w:hAnsi="Verdana"/>
                <w:sz w:val="24"/>
                <w:szCs w:val="24"/>
              </w:rPr>
            </w:pPr>
            <w:r w:rsidRPr="00D500F1">
              <w:rPr>
                <w:rFonts w:ascii="Verdana" w:hAnsi="Verdana"/>
                <w:sz w:val="24"/>
                <w:szCs w:val="24"/>
              </w:rPr>
              <w:t>utilities available</w:t>
            </w:r>
          </w:p>
        </w:tc>
        <w:tc>
          <w:tcPr>
            <w:tcW w:w="1428" w:type="dxa"/>
          </w:tcPr>
          <w:p w14:paraId="29AE38B6" w14:textId="77777777" w:rsidR="00F60A68" w:rsidRPr="00D500F1" w:rsidRDefault="00D81505" w:rsidP="00D500F1">
            <w:pPr>
              <w:pStyle w:val="TableParagraph"/>
              <w:spacing w:before="120" w:after="200" w:line="276" w:lineRule="auto"/>
              <w:ind w:left="110" w:right="138"/>
              <w:rPr>
                <w:rFonts w:ascii="Verdana" w:hAnsi="Verdana"/>
                <w:sz w:val="24"/>
                <w:szCs w:val="24"/>
              </w:rPr>
            </w:pPr>
            <w:r w:rsidRPr="00D500F1">
              <w:rPr>
                <w:rFonts w:ascii="Verdana" w:hAnsi="Verdana"/>
                <w:sz w:val="24"/>
                <w:szCs w:val="24"/>
              </w:rPr>
              <w:t>Affordability Gain</w:t>
            </w:r>
          </w:p>
        </w:tc>
        <w:tc>
          <w:tcPr>
            <w:tcW w:w="1425" w:type="dxa"/>
          </w:tcPr>
          <w:p w14:paraId="1BC27064" w14:textId="77777777" w:rsidR="00F60A68" w:rsidRPr="00D500F1" w:rsidRDefault="00D81505" w:rsidP="00D500F1">
            <w:pPr>
              <w:pStyle w:val="TableParagraph"/>
              <w:spacing w:before="120" w:after="200" w:line="276" w:lineRule="auto"/>
              <w:ind w:left="108" w:right="125"/>
              <w:rPr>
                <w:rFonts w:ascii="Verdana" w:hAnsi="Verdana"/>
                <w:sz w:val="24"/>
                <w:szCs w:val="24"/>
              </w:rPr>
            </w:pPr>
            <w:r w:rsidRPr="00D500F1">
              <w:rPr>
                <w:rFonts w:ascii="Verdana" w:hAnsi="Verdana"/>
                <w:sz w:val="24"/>
                <w:szCs w:val="24"/>
              </w:rPr>
              <w:t>Outcome Pass or Fail</w:t>
            </w:r>
          </w:p>
        </w:tc>
        <w:tc>
          <w:tcPr>
            <w:tcW w:w="2659" w:type="dxa"/>
          </w:tcPr>
          <w:p w14:paraId="0D5E70BE" w14:textId="77777777" w:rsidR="00F60A68" w:rsidRPr="00D500F1" w:rsidRDefault="00D81505" w:rsidP="00D500F1">
            <w:pPr>
              <w:pStyle w:val="TableParagraph"/>
              <w:spacing w:before="120" w:after="200" w:line="276" w:lineRule="auto"/>
              <w:ind w:left="111"/>
              <w:rPr>
                <w:rFonts w:ascii="Verdana" w:hAnsi="Verdana"/>
                <w:sz w:val="24"/>
                <w:szCs w:val="24"/>
              </w:rPr>
            </w:pPr>
            <w:r w:rsidRPr="00D500F1">
              <w:rPr>
                <w:rFonts w:ascii="Verdana" w:hAnsi="Verdana"/>
                <w:sz w:val="24"/>
                <w:szCs w:val="24"/>
              </w:rPr>
              <w:t>Comments</w:t>
            </w:r>
          </w:p>
        </w:tc>
      </w:tr>
      <w:tr w:rsidR="00F60A68" w:rsidRPr="00D500F1" w14:paraId="4E715CA1" w14:textId="77777777" w:rsidTr="00243EDF">
        <w:trPr>
          <w:trHeight w:val="290"/>
        </w:trPr>
        <w:tc>
          <w:tcPr>
            <w:tcW w:w="555" w:type="dxa"/>
          </w:tcPr>
          <w:p w14:paraId="5C8456E8" w14:textId="77777777" w:rsidR="00F60A68" w:rsidRPr="00D500F1" w:rsidRDefault="00F60A68" w:rsidP="00D500F1">
            <w:pPr>
              <w:pStyle w:val="TableParagraph"/>
              <w:spacing w:before="120" w:after="200" w:line="276" w:lineRule="auto"/>
              <w:rPr>
                <w:rFonts w:ascii="Verdana" w:hAnsi="Verdana"/>
                <w:sz w:val="24"/>
                <w:szCs w:val="24"/>
              </w:rPr>
            </w:pPr>
          </w:p>
        </w:tc>
        <w:tc>
          <w:tcPr>
            <w:tcW w:w="2102" w:type="dxa"/>
          </w:tcPr>
          <w:p w14:paraId="5C06D886"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0DAD6925"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50A76976"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4185B679"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41B61B4B"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0241F633"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378EAFDC"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77FD60A4" w14:textId="24926799" w:rsidR="00F60A68" w:rsidRPr="00D500F1" w:rsidRDefault="00243EDF" w:rsidP="00D500F1">
            <w:pPr>
              <w:pStyle w:val="TableParagraph"/>
              <w:spacing w:before="120" w:after="200" w:line="276" w:lineRule="auto"/>
              <w:rPr>
                <w:rFonts w:ascii="Verdana" w:hAnsi="Verdana"/>
                <w:sz w:val="24"/>
                <w:szCs w:val="24"/>
              </w:rPr>
            </w:pPr>
            <w:r>
              <w:rPr>
                <w:rFonts w:ascii="Verdana" w:hAnsi="Verdana"/>
                <w:sz w:val="24"/>
                <w:szCs w:val="24"/>
              </w:rPr>
              <w:t>Design quality</w:t>
            </w:r>
          </w:p>
        </w:tc>
      </w:tr>
      <w:tr w:rsidR="00F60A68" w:rsidRPr="00D500F1" w14:paraId="044FFB24" w14:textId="77777777" w:rsidTr="00243EDF">
        <w:trPr>
          <w:trHeight w:val="292"/>
        </w:trPr>
        <w:tc>
          <w:tcPr>
            <w:tcW w:w="555" w:type="dxa"/>
          </w:tcPr>
          <w:p w14:paraId="6DFB5970" w14:textId="77777777" w:rsidR="00F60A68" w:rsidRPr="00D500F1" w:rsidRDefault="00F60A68" w:rsidP="00D500F1">
            <w:pPr>
              <w:pStyle w:val="TableParagraph"/>
              <w:spacing w:before="120" w:after="200" w:line="276" w:lineRule="auto"/>
              <w:rPr>
                <w:rFonts w:ascii="Verdana" w:hAnsi="Verdana"/>
                <w:sz w:val="24"/>
                <w:szCs w:val="24"/>
              </w:rPr>
            </w:pPr>
          </w:p>
        </w:tc>
        <w:tc>
          <w:tcPr>
            <w:tcW w:w="2102" w:type="dxa"/>
          </w:tcPr>
          <w:p w14:paraId="5EA30C6E"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3020C3C9"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7403B81A"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4DBAC597"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113B0D59"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217BBA7E"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22AE3F3A"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11BC6A8A" w14:textId="250F14E1" w:rsidR="00F60A68" w:rsidRPr="00D500F1" w:rsidRDefault="00243EDF" w:rsidP="00D500F1">
            <w:pPr>
              <w:pStyle w:val="TableParagraph"/>
              <w:spacing w:before="120" w:after="200" w:line="276" w:lineRule="auto"/>
              <w:rPr>
                <w:rFonts w:ascii="Verdana" w:hAnsi="Verdana"/>
                <w:sz w:val="24"/>
                <w:szCs w:val="24"/>
              </w:rPr>
            </w:pPr>
            <w:r>
              <w:rPr>
                <w:rFonts w:ascii="Verdana" w:hAnsi="Verdana"/>
                <w:sz w:val="24"/>
                <w:szCs w:val="24"/>
              </w:rPr>
              <w:t>Split location and suitability</w:t>
            </w:r>
          </w:p>
        </w:tc>
      </w:tr>
      <w:tr w:rsidR="00F60A68" w:rsidRPr="00D500F1" w14:paraId="340FE5C0" w14:textId="77777777" w:rsidTr="00243EDF">
        <w:trPr>
          <w:trHeight w:val="290"/>
        </w:trPr>
        <w:tc>
          <w:tcPr>
            <w:tcW w:w="555" w:type="dxa"/>
          </w:tcPr>
          <w:p w14:paraId="0B6240BD" w14:textId="77777777" w:rsidR="00F60A68" w:rsidRPr="00D500F1" w:rsidRDefault="00F60A68" w:rsidP="00D500F1">
            <w:pPr>
              <w:pStyle w:val="TableParagraph"/>
              <w:spacing w:before="120" w:after="200" w:line="276" w:lineRule="auto"/>
              <w:rPr>
                <w:rFonts w:ascii="Verdana" w:hAnsi="Verdana"/>
                <w:sz w:val="24"/>
                <w:szCs w:val="24"/>
              </w:rPr>
            </w:pPr>
          </w:p>
        </w:tc>
        <w:tc>
          <w:tcPr>
            <w:tcW w:w="2102" w:type="dxa"/>
          </w:tcPr>
          <w:p w14:paraId="535A5007"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4ABCED51"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4CE90EEC"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23EE4D0D"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080EB2FC"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36F5170F"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7382660D"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6C91E520"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0EC4C7BF" w14:textId="77777777" w:rsidTr="00243EDF">
        <w:trPr>
          <w:trHeight w:val="292"/>
        </w:trPr>
        <w:tc>
          <w:tcPr>
            <w:tcW w:w="555" w:type="dxa"/>
          </w:tcPr>
          <w:p w14:paraId="60EDCA98"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1</w:t>
            </w:r>
          </w:p>
        </w:tc>
        <w:tc>
          <w:tcPr>
            <w:tcW w:w="2102" w:type="dxa"/>
          </w:tcPr>
          <w:p w14:paraId="1D820CE0"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2134B72E"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7E643653"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65850D74"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3C620C5C"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1880EA82"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24B142D6"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3F5DDBC4"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3BF66453" w14:textId="77777777" w:rsidTr="00243EDF">
        <w:trPr>
          <w:trHeight w:val="290"/>
        </w:trPr>
        <w:tc>
          <w:tcPr>
            <w:tcW w:w="555" w:type="dxa"/>
          </w:tcPr>
          <w:p w14:paraId="2E2FA030"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lastRenderedPageBreak/>
              <w:t>2</w:t>
            </w:r>
          </w:p>
        </w:tc>
        <w:tc>
          <w:tcPr>
            <w:tcW w:w="2102" w:type="dxa"/>
          </w:tcPr>
          <w:p w14:paraId="742114F2"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342D7B01"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4FD4AF34"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2D522F90"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44F780B4"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6611479D"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3FF54427"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3F445825"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715026D3" w14:textId="77777777" w:rsidTr="00243EDF">
        <w:trPr>
          <w:trHeight w:val="289"/>
        </w:trPr>
        <w:tc>
          <w:tcPr>
            <w:tcW w:w="555" w:type="dxa"/>
          </w:tcPr>
          <w:p w14:paraId="767398AB"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3</w:t>
            </w:r>
          </w:p>
        </w:tc>
        <w:tc>
          <w:tcPr>
            <w:tcW w:w="2102" w:type="dxa"/>
          </w:tcPr>
          <w:p w14:paraId="4BB4D421"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733AC123"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30106309"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7FB42BE7"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3E0542BE"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6ADE3662"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69D932C1"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4C7CF858"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4D4DD719" w14:textId="77777777" w:rsidTr="00243EDF">
        <w:trPr>
          <w:trHeight w:val="292"/>
        </w:trPr>
        <w:tc>
          <w:tcPr>
            <w:tcW w:w="555" w:type="dxa"/>
          </w:tcPr>
          <w:p w14:paraId="2AEE6B35"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4</w:t>
            </w:r>
          </w:p>
        </w:tc>
        <w:tc>
          <w:tcPr>
            <w:tcW w:w="2102" w:type="dxa"/>
          </w:tcPr>
          <w:p w14:paraId="1793A227"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15C07A1A"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1418F94F"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1D211894"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19B8A72E"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5BF25924"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7B529437"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2A0CEF87"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73F50B4E" w14:textId="77777777" w:rsidTr="00243EDF">
        <w:trPr>
          <w:trHeight w:val="290"/>
        </w:trPr>
        <w:tc>
          <w:tcPr>
            <w:tcW w:w="555" w:type="dxa"/>
          </w:tcPr>
          <w:p w14:paraId="3E41B7BE"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5</w:t>
            </w:r>
          </w:p>
        </w:tc>
        <w:tc>
          <w:tcPr>
            <w:tcW w:w="2102" w:type="dxa"/>
          </w:tcPr>
          <w:p w14:paraId="7A32CFCF" w14:textId="77777777" w:rsidR="00F60A68" w:rsidRPr="00D500F1" w:rsidRDefault="00F60A68" w:rsidP="00D500F1">
            <w:pPr>
              <w:pStyle w:val="TableParagraph"/>
              <w:spacing w:before="120" w:after="200" w:line="276" w:lineRule="auto"/>
              <w:rPr>
                <w:rFonts w:ascii="Verdana" w:hAnsi="Verdana"/>
                <w:sz w:val="24"/>
                <w:szCs w:val="24"/>
              </w:rPr>
            </w:pPr>
          </w:p>
        </w:tc>
        <w:tc>
          <w:tcPr>
            <w:tcW w:w="1181" w:type="dxa"/>
          </w:tcPr>
          <w:p w14:paraId="0A5B2599" w14:textId="77777777" w:rsidR="00F60A68" w:rsidRPr="00D500F1" w:rsidRDefault="00F60A68" w:rsidP="00D500F1">
            <w:pPr>
              <w:pStyle w:val="TableParagraph"/>
              <w:spacing w:before="120" w:after="200" w:line="276" w:lineRule="auto"/>
              <w:rPr>
                <w:rFonts w:ascii="Verdana" w:hAnsi="Verdana"/>
                <w:sz w:val="24"/>
                <w:szCs w:val="24"/>
              </w:rPr>
            </w:pPr>
          </w:p>
        </w:tc>
        <w:tc>
          <w:tcPr>
            <w:tcW w:w="1701" w:type="dxa"/>
          </w:tcPr>
          <w:p w14:paraId="65BE198C" w14:textId="77777777" w:rsidR="00F60A68" w:rsidRPr="00D500F1" w:rsidRDefault="00F60A68" w:rsidP="00D500F1">
            <w:pPr>
              <w:pStyle w:val="TableParagraph"/>
              <w:spacing w:before="120" w:after="200" w:line="276" w:lineRule="auto"/>
              <w:rPr>
                <w:rFonts w:ascii="Verdana" w:hAnsi="Verdana"/>
                <w:sz w:val="24"/>
                <w:szCs w:val="24"/>
              </w:rPr>
            </w:pPr>
          </w:p>
        </w:tc>
        <w:tc>
          <w:tcPr>
            <w:tcW w:w="2083" w:type="dxa"/>
          </w:tcPr>
          <w:p w14:paraId="48E70E30"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63182AB7" w14:textId="77777777" w:rsidR="00F60A68" w:rsidRPr="00D500F1" w:rsidRDefault="00F60A68" w:rsidP="00D500F1">
            <w:pPr>
              <w:pStyle w:val="TableParagraph"/>
              <w:spacing w:before="120" w:after="200" w:line="276" w:lineRule="auto"/>
              <w:rPr>
                <w:rFonts w:ascii="Verdana" w:hAnsi="Verdana"/>
                <w:sz w:val="24"/>
                <w:szCs w:val="24"/>
              </w:rPr>
            </w:pPr>
          </w:p>
        </w:tc>
        <w:tc>
          <w:tcPr>
            <w:tcW w:w="1428" w:type="dxa"/>
          </w:tcPr>
          <w:p w14:paraId="312BA22C" w14:textId="77777777" w:rsidR="00F60A68" w:rsidRPr="00D500F1" w:rsidRDefault="00F60A68" w:rsidP="00D500F1">
            <w:pPr>
              <w:pStyle w:val="TableParagraph"/>
              <w:spacing w:before="120" w:after="200" w:line="276" w:lineRule="auto"/>
              <w:rPr>
                <w:rFonts w:ascii="Verdana" w:hAnsi="Verdana"/>
                <w:sz w:val="24"/>
                <w:szCs w:val="24"/>
              </w:rPr>
            </w:pPr>
          </w:p>
        </w:tc>
        <w:tc>
          <w:tcPr>
            <w:tcW w:w="1425" w:type="dxa"/>
          </w:tcPr>
          <w:p w14:paraId="71F936D7" w14:textId="77777777" w:rsidR="00F60A68" w:rsidRPr="00D500F1" w:rsidRDefault="00F60A68" w:rsidP="00D500F1">
            <w:pPr>
              <w:pStyle w:val="TableParagraph"/>
              <w:spacing w:before="120" w:after="200" w:line="276" w:lineRule="auto"/>
              <w:rPr>
                <w:rFonts w:ascii="Verdana" w:hAnsi="Verdana"/>
                <w:sz w:val="24"/>
                <w:szCs w:val="24"/>
              </w:rPr>
            </w:pPr>
          </w:p>
        </w:tc>
        <w:tc>
          <w:tcPr>
            <w:tcW w:w="2659" w:type="dxa"/>
          </w:tcPr>
          <w:p w14:paraId="00B9D38A"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69BA3A07" w14:textId="77777777">
        <w:trPr>
          <w:trHeight w:val="292"/>
        </w:trPr>
        <w:tc>
          <w:tcPr>
            <w:tcW w:w="2657" w:type="dxa"/>
            <w:gridSpan w:val="2"/>
          </w:tcPr>
          <w:p w14:paraId="1ABF95B1"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Signed:</w:t>
            </w:r>
          </w:p>
        </w:tc>
        <w:tc>
          <w:tcPr>
            <w:tcW w:w="11902" w:type="dxa"/>
            <w:gridSpan w:val="7"/>
          </w:tcPr>
          <w:p w14:paraId="42DE6AF6"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2A7833DE" w14:textId="77777777">
        <w:trPr>
          <w:trHeight w:val="290"/>
        </w:trPr>
        <w:tc>
          <w:tcPr>
            <w:tcW w:w="2657" w:type="dxa"/>
            <w:gridSpan w:val="2"/>
          </w:tcPr>
          <w:p w14:paraId="28511681"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Signed:</w:t>
            </w:r>
          </w:p>
        </w:tc>
        <w:tc>
          <w:tcPr>
            <w:tcW w:w="11902" w:type="dxa"/>
            <w:gridSpan w:val="7"/>
          </w:tcPr>
          <w:p w14:paraId="49D92549"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0BEAF020" w14:textId="77777777">
        <w:trPr>
          <w:trHeight w:val="290"/>
        </w:trPr>
        <w:tc>
          <w:tcPr>
            <w:tcW w:w="2657" w:type="dxa"/>
            <w:gridSpan w:val="2"/>
          </w:tcPr>
          <w:p w14:paraId="606A9706"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Signed:</w:t>
            </w:r>
          </w:p>
        </w:tc>
        <w:tc>
          <w:tcPr>
            <w:tcW w:w="11902" w:type="dxa"/>
            <w:gridSpan w:val="7"/>
          </w:tcPr>
          <w:p w14:paraId="7430B70A" w14:textId="77777777" w:rsidR="00F60A68" w:rsidRPr="00D500F1" w:rsidRDefault="00F60A68" w:rsidP="00D500F1">
            <w:pPr>
              <w:pStyle w:val="TableParagraph"/>
              <w:spacing w:before="120" w:after="200" w:line="276" w:lineRule="auto"/>
              <w:rPr>
                <w:rFonts w:ascii="Verdana" w:hAnsi="Verdana"/>
                <w:sz w:val="24"/>
                <w:szCs w:val="24"/>
              </w:rPr>
            </w:pPr>
          </w:p>
        </w:tc>
      </w:tr>
      <w:tr w:rsidR="00F60A68" w:rsidRPr="00D500F1" w14:paraId="147C84CA" w14:textId="77777777">
        <w:trPr>
          <w:trHeight w:val="292"/>
        </w:trPr>
        <w:tc>
          <w:tcPr>
            <w:tcW w:w="2657" w:type="dxa"/>
            <w:gridSpan w:val="2"/>
          </w:tcPr>
          <w:p w14:paraId="4F0AA7E8" w14:textId="77777777" w:rsidR="00F60A68" w:rsidRPr="00D500F1" w:rsidRDefault="00D81505" w:rsidP="00D500F1">
            <w:pPr>
              <w:pStyle w:val="TableParagraph"/>
              <w:spacing w:before="120" w:after="200" w:line="276" w:lineRule="auto"/>
              <w:ind w:left="107"/>
              <w:rPr>
                <w:rFonts w:ascii="Verdana" w:hAnsi="Verdana"/>
                <w:sz w:val="24"/>
                <w:szCs w:val="24"/>
              </w:rPr>
            </w:pPr>
            <w:r w:rsidRPr="00D500F1">
              <w:rPr>
                <w:rFonts w:ascii="Verdana" w:hAnsi="Verdana"/>
                <w:sz w:val="24"/>
                <w:szCs w:val="24"/>
              </w:rPr>
              <w:t>Date</w:t>
            </w:r>
          </w:p>
        </w:tc>
        <w:tc>
          <w:tcPr>
            <w:tcW w:w="11902" w:type="dxa"/>
            <w:gridSpan w:val="7"/>
          </w:tcPr>
          <w:p w14:paraId="66D85688" w14:textId="77777777" w:rsidR="00F60A68" w:rsidRPr="00D500F1" w:rsidRDefault="00F60A68" w:rsidP="00D500F1">
            <w:pPr>
              <w:pStyle w:val="TableParagraph"/>
              <w:spacing w:before="120" w:after="200" w:line="276" w:lineRule="auto"/>
              <w:rPr>
                <w:rFonts w:ascii="Verdana" w:hAnsi="Verdana"/>
                <w:sz w:val="24"/>
                <w:szCs w:val="24"/>
              </w:rPr>
            </w:pPr>
          </w:p>
        </w:tc>
      </w:tr>
    </w:tbl>
    <w:p w14:paraId="586FF580" w14:textId="77777777" w:rsidR="00F60A68" w:rsidRPr="00D500F1" w:rsidRDefault="00F60A68" w:rsidP="000465B8">
      <w:pPr>
        <w:pStyle w:val="BodyText"/>
        <w:spacing w:before="120" w:after="200" w:line="276" w:lineRule="auto"/>
        <w:rPr>
          <w:rFonts w:ascii="Verdana" w:hAnsi="Verdana"/>
          <w:b/>
          <w:sz w:val="24"/>
          <w:szCs w:val="24"/>
        </w:rPr>
      </w:pPr>
    </w:p>
    <w:sectPr w:rsidR="00F60A68" w:rsidRPr="00D500F1" w:rsidSect="000465B8">
      <w:footerReference w:type="default" r:id="rId27"/>
      <w:pgSz w:w="16840" w:h="11910" w:orient="landscape"/>
      <w:pgMar w:top="1678" w:right="1582" w:bottom="1678" w:left="601" w:header="0" w:footer="4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E716A" w14:textId="77777777" w:rsidR="000D02B0" w:rsidRDefault="000D02B0">
      <w:r>
        <w:separator/>
      </w:r>
    </w:p>
  </w:endnote>
  <w:endnote w:type="continuationSeparator" w:id="0">
    <w:p w14:paraId="4216C47D" w14:textId="77777777" w:rsidR="000D02B0" w:rsidRDefault="000D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854896"/>
      <w:docPartObj>
        <w:docPartGallery w:val="Page Numbers (Bottom of Page)"/>
        <w:docPartUnique/>
      </w:docPartObj>
    </w:sdtPr>
    <w:sdtContent>
      <w:sdt>
        <w:sdtPr>
          <w:id w:val="-1769616900"/>
          <w:docPartObj>
            <w:docPartGallery w:val="Page Numbers (Top of Page)"/>
            <w:docPartUnique/>
          </w:docPartObj>
        </w:sdtPr>
        <w:sdtContent>
          <w:p w14:paraId="4DA5B5B2" w14:textId="30E7DCD8" w:rsidR="00401BD4" w:rsidRDefault="00401B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CC52E8" w14:textId="77777777" w:rsidR="00D81505" w:rsidRDefault="00D8150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71EE" w14:textId="77777777" w:rsidR="00D81505" w:rsidRDefault="00D8150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E9EF1" w14:textId="77777777" w:rsidR="00D81505" w:rsidRDefault="00D8150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71E84" w14:textId="77777777" w:rsidR="000D02B0" w:rsidRDefault="000D02B0">
      <w:r>
        <w:separator/>
      </w:r>
    </w:p>
  </w:footnote>
  <w:footnote w:type="continuationSeparator" w:id="0">
    <w:p w14:paraId="6E5AF8D3" w14:textId="77777777" w:rsidR="000D02B0" w:rsidRDefault="000D02B0">
      <w:r>
        <w:continuationSeparator/>
      </w:r>
    </w:p>
  </w:footnote>
  <w:footnote w:id="1">
    <w:p w14:paraId="67D4023C" w14:textId="77777777" w:rsidR="00D81505" w:rsidRDefault="00D81505">
      <w:pPr>
        <w:pStyle w:val="FootnoteText"/>
      </w:pPr>
      <w:r>
        <w:rPr>
          <w:rStyle w:val="FootnoteReference"/>
        </w:rPr>
        <w:footnoteRef/>
      </w:r>
      <w:r>
        <w:t xml:space="preserve"> </w:t>
      </w:r>
      <w:r w:rsidRPr="00EC1468">
        <w:t>Depending on the nature of the constraints and the efforts to address this in designing the proposed scheme, account may be taken of the impact of the constraint in calculating the proposal’s density and /or scheme layout.</w:t>
      </w:r>
    </w:p>
  </w:footnote>
  <w:footnote w:id="2">
    <w:p w14:paraId="4B669F46" w14:textId="77777777" w:rsidR="006E6BC9" w:rsidRDefault="006E6BC9">
      <w:pPr>
        <w:pStyle w:val="FootnoteText"/>
      </w:pPr>
      <w:r>
        <w:rPr>
          <w:rStyle w:val="FootnoteReference"/>
        </w:rPr>
        <w:footnoteRef/>
      </w:r>
      <w:r>
        <w:t xml:space="preserve"> </w:t>
      </w:r>
      <w:r w:rsidRPr="00EC1468">
        <w:t>The all-in cost of the development includes, land costs, construction costs, design fees and other costs such as development levies, utilities, financing costs, sales, marketing, profit etc.</w:t>
      </w:r>
    </w:p>
  </w:footnote>
  <w:footnote w:id="3">
    <w:p w14:paraId="3AF9145A" w14:textId="77777777" w:rsidR="0070725F" w:rsidRDefault="0070725F">
      <w:pPr>
        <w:pStyle w:val="FootnoteText"/>
      </w:pPr>
      <w:r>
        <w:rPr>
          <w:rStyle w:val="FootnoteReference"/>
        </w:rPr>
        <w:footnoteRef/>
      </w:r>
      <w:r>
        <w:t xml:space="preserve"> Based on 3.5 times their income</w:t>
      </w:r>
    </w:p>
  </w:footnote>
  <w:footnote w:id="4">
    <w:p w14:paraId="008E84F6" w14:textId="77777777" w:rsidR="0070725F" w:rsidRDefault="0070725F">
      <w:pPr>
        <w:pStyle w:val="FootnoteText"/>
      </w:pPr>
      <w:r>
        <w:rPr>
          <w:rStyle w:val="FootnoteReference"/>
        </w:rPr>
        <w:footnoteRef/>
      </w:r>
      <w:r>
        <w:t xml:space="preserve"> The maximum equity allowed under the Act</w:t>
      </w:r>
    </w:p>
  </w:footnote>
  <w:footnote w:id="5">
    <w:p w14:paraId="768F70AF" w14:textId="77777777" w:rsidR="0070725F" w:rsidRDefault="0070725F" w:rsidP="0070725F">
      <w:pPr>
        <w:pStyle w:val="FootnoteText"/>
      </w:pPr>
      <w:r>
        <w:rPr>
          <w:rStyle w:val="FootnoteReference"/>
        </w:rPr>
        <w:footnoteRef/>
      </w:r>
      <w:r>
        <w:t xml:space="preserve"> </w:t>
      </w:r>
      <w:r w:rsidRPr="00EC1468">
        <w:t>The all-in cost of the development includes, land costs, construction costs, design fees and other costs such as development levies, utilities, financing costs, sales, marketing, profit etc.</w:t>
      </w:r>
    </w:p>
  </w:footnote>
  <w:footnote w:id="6">
    <w:p w14:paraId="77E2E6ED" w14:textId="77777777" w:rsidR="00585281" w:rsidRDefault="00585281">
      <w:pPr>
        <w:pStyle w:val="FootnoteText"/>
      </w:pPr>
      <w:r>
        <w:rPr>
          <w:rStyle w:val="FootnoteReference"/>
        </w:rPr>
        <w:footnoteRef/>
      </w:r>
      <w:r>
        <w:t xml:space="preserve"> </w:t>
      </w:r>
      <w:r w:rsidRPr="00EC1468">
        <w:t>The all-in cost of the development includes, land costs, construction costs, design fees and other costs such as development levies, utilities, financing costs, sales, marketing, profit etc</w:t>
      </w:r>
    </w:p>
  </w:footnote>
  <w:footnote w:id="7">
    <w:p w14:paraId="56C2197E" w14:textId="77777777" w:rsidR="00D81505" w:rsidRDefault="00D81505" w:rsidP="00D81505">
      <w:pPr>
        <w:pStyle w:val="FootnoteText"/>
      </w:pPr>
      <w:r>
        <w:rPr>
          <w:rStyle w:val="FootnoteReference"/>
        </w:rPr>
        <w:footnoteRef/>
      </w:r>
      <w:r>
        <w:t xml:space="preserve"> The all-in cost of the development includes, land costs, construction costs, design fees and other costs such as development levies, utilities, financing costs, sales, marketing, profit etc.</w:t>
      </w:r>
    </w:p>
    <w:p w14:paraId="6F58D94D" w14:textId="77777777" w:rsidR="00D81505" w:rsidRDefault="00D81505" w:rsidP="00D81505">
      <w:pPr>
        <w:pStyle w:val="FootnoteText"/>
      </w:pPr>
      <w:r>
        <w:t>It is accepted that there could be a difference between all in costs at stage 1 and stage 2.</w:t>
      </w:r>
    </w:p>
  </w:footnote>
  <w:footnote w:id="8">
    <w:p w14:paraId="3E9559B5" w14:textId="77777777" w:rsidR="00D81505" w:rsidRDefault="00D81505" w:rsidP="00D81505">
      <w:pPr>
        <w:pStyle w:val="FootnoteText"/>
      </w:pPr>
      <w:r>
        <w:rPr>
          <w:rStyle w:val="FootnoteReference"/>
        </w:rPr>
        <w:footnoteRef/>
      </w:r>
      <w:r>
        <w:t xml:space="preserve"> It is a requirement of AHF funding eligibility that a minimum 15% discount is achieved on open market values of comparable new build properties for affordable purchase proposals with the benefit of the applied AHF funding taken into account.</w:t>
      </w:r>
    </w:p>
    <w:p w14:paraId="029F3C9D" w14:textId="77777777" w:rsidR="00D81505" w:rsidRDefault="00D81505" w:rsidP="00D81505">
      <w:pPr>
        <w:pStyle w:val="FootnoteText"/>
      </w:pPr>
      <w:r>
        <w:t>It is a requirement of AHF funding eligibility that a minimum 25% discount on open market rents of comparable properties for Cost Rental proposals with the benefit of the applied AHF funding taken into account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B0060" w14:textId="630EF4CC" w:rsidR="00401BD4" w:rsidRDefault="00401BD4">
    <w:pPr>
      <w:pStyle w:val="Header"/>
    </w:pPr>
    <w:r>
      <w:rPr>
        <w:noProof/>
      </w:rPr>
      <w:drawing>
        <wp:inline distT="0" distB="0" distL="0" distR="0" wp14:anchorId="2DAE7E36" wp14:editId="18497B49">
          <wp:extent cx="6343650" cy="1356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43650" cy="1356360"/>
                  </a:xfrm>
                  <a:prstGeom prst="rect">
                    <a:avLst/>
                  </a:prstGeom>
                </pic:spPr>
              </pic:pic>
            </a:graphicData>
          </a:graphic>
        </wp:inline>
      </w:drawing>
    </w:r>
  </w:p>
  <w:p w14:paraId="55DC8BBE" w14:textId="77777777" w:rsidR="00401BD4" w:rsidRDefault="00401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B1037"/>
    <w:multiLevelType w:val="multilevel"/>
    <w:tmpl w:val="FB160B4E"/>
    <w:lvl w:ilvl="0">
      <w:start w:val="1"/>
      <w:numFmt w:val="decimal"/>
      <w:lvlText w:val="%1."/>
      <w:lvlJc w:val="left"/>
      <w:pPr>
        <w:ind w:left="1060" w:hanging="440"/>
        <w:jc w:val="left"/>
      </w:pPr>
      <w:rPr>
        <w:rFonts w:ascii="Times New Roman" w:eastAsia="Times New Roman" w:hAnsi="Times New Roman" w:cs="Times New Roman" w:hint="default"/>
        <w:w w:val="100"/>
        <w:sz w:val="24"/>
        <w:szCs w:val="24"/>
        <w:lang w:val="en-IE" w:eastAsia="en-IE" w:bidi="en-IE"/>
      </w:rPr>
    </w:lvl>
    <w:lvl w:ilvl="1">
      <w:start w:val="1"/>
      <w:numFmt w:val="decimal"/>
      <w:lvlText w:val="%1.%2"/>
      <w:lvlJc w:val="left"/>
      <w:pPr>
        <w:ind w:left="1499" w:hanging="660"/>
        <w:jc w:val="left"/>
      </w:pPr>
      <w:rPr>
        <w:rFonts w:ascii="Times New Roman" w:eastAsia="Times New Roman" w:hAnsi="Times New Roman" w:cs="Times New Roman" w:hint="default"/>
        <w:w w:val="100"/>
        <w:sz w:val="24"/>
        <w:szCs w:val="24"/>
        <w:lang w:val="en-IE" w:eastAsia="en-IE" w:bidi="en-IE"/>
      </w:rPr>
    </w:lvl>
    <w:lvl w:ilvl="2">
      <w:start w:val="1"/>
      <w:numFmt w:val="decimal"/>
      <w:lvlText w:val="%1.%2.%3"/>
      <w:lvlJc w:val="left"/>
      <w:pPr>
        <w:ind w:left="1941" w:hanging="881"/>
        <w:jc w:val="left"/>
      </w:pPr>
      <w:rPr>
        <w:rFonts w:ascii="Times New Roman" w:eastAsia="Times New Roman" w:hAnsi="Times New Roman" w:cs="Times New Roman" w:hint="default"/>
        <w:w w:val="100"/>
        <w:sz w:val="24"/>
        <w:szCs w:val="24"/>
        <w:lang w:val="en-IE" w:eastAsia="en-IE" w:bidi="en-IE"/>
      </w:rPr>
    </w:lvl>
    <w:lvl w:ilvl="3">
      <w:numFmt w:val="bullet"/>
      <w:lvlText w:val="•"/>
      <w:lvlJc w:val="left"/>
      <w:pPr>
        <w:ind w:left="2945" w:hanging="881"/>
      </w:pPr>
      <w:rPr>
        <w:rFonts w:hint="default"/>
        <w:lang w:val="en-IE" w:eastAsia="en-IE" w:bidi="en-IE"/>
      </w:rPr>
    </w:lvl>
    <w:lvl w:ilvl="4">
      <w:numFmt w:val="bullet"/>
      <w:lvlText w:val="•"/>
      <w:lvlJc w:val="left"/>
      <w:pPr>
        <w:ind w:left="3951" w:hanging="881"/>
      </w:pPr>
      <w:rPr>
        <w:rFonts w:hint="default"/>
        <w:lang w:val="en-IE" w:eastAsia="en-IE" w:bidi="en-IE"/>
      </w:rPr>
    </w:lvl>
    <w:lvl w:ilvl="5">
      <w:numFmt w:val="bullet"/>
      <w:lvlText w:val="•"/>
      <w:lvlJc w:val="left"/>
      <w:pPr>
        <w:ind w:left="4957" w:hanging="881"/>
      </w:pPr>
      <w:rPr>
        <w:rFonts w:hint="default"/>
        <w:lang w:val="en-IE" w:eastAsia="en-IE" w:bidi="en-IE"/>
      </w:rPr>
    </w:lvl>
    <w:lvl w:ilvl="6">
      <w:numFmt w:val="bullet"/>
      <w:lvlText w:val="•"/>
      <w:lvlJc w:val="left"/>
      <w:pPr>
        <w:ind w:left="5963" w:hanging="881"/>
      </w:pPr>
      <w:rPr>
        <w:rFonts w:hint="default"/>
        <w:lang w:val="en-IE" w:eastAsia="en-IE" w:bidi="en-IE"/>
      </w:rPr>
    </w:lvl>
    <w:lvl w:ilvl="7">
      <w:numFmt w:val="bullet"/>
      <w:lvlText w:val="•"/>
      <w:lvlJc w:val="left"/>
      <w:pPr>
        <w:ind w:left="6969" w:hanging="881"/>
      </w:pPr>
      <w:rPr>
        <w:rFonts w:hint="default"/>
        <w:lang w:val="en-IE" w:eastAsia="en-IE" w:bidi="en-IE"/>
      </w:rPr>
    </w:lvl>
    <w:lvl w:ilvl="8">
      <w:numFmt w:val="bullet"/>
      <w:lvlText w:val="•"/>
      <w:lvlJc w:val="left"/>
      <w:pPr>
        <w:ind w:left="7974" w:hanging="881"/>
      </w:pPr>
      <w:rPr>
        <w:rFonts w:hint="default"/>
        <w:lang w:val="en-IE" w:eastAsia="en-IE" w:bidi="en-IE"/>
      </w:rPr>
    </w:lvl>
  </w:abstractNum>
  <w:abstractNum w:abstractNumId="1" w15:restartNumberingAfterBreak="0">
    <w:nsid w:val="5DCB7935"/>
    <w:multiLevelType w:val="hybridMultilevel"/>
    <w:tmpl w:val="57D0433A"/>
    <w:lvl w:ilvl="0" w:tplc="18090001">
      <w:start w:val="1"/>
      <w:numFmt w:val="bullet"/>
      <w:lvlText w:val=""/>
      <w:lvlJc w:val="left"/>
      <w:pPr>
        <w:ind w:left="1120" w:hanging="360"/>
      </w:pPr>
      <w:rPr>
        <w:rFonts w:ascii="Symbol" w:hAnsi="Symbol" w:hint="default"/>
      </w:rPr>
    </w:lvl>
    <w:lvl w:ilvl="1" w:tplc="18090003" w:tentative="1">
      <w:start w:val="1"/>
      <w:numFmt w:val="bullet"/>
      <w:lvlText w:val="o"/>
      <w:lvlJc w:val="left"/>
      <w:pPr>
        <w:ind w:left="1840" w:hanging="360"/>
      </w:pPr>
      <w:rPr>
        <w:rFonts w:ascii="Courier New" w:hAnsi="Courier New" w:cs="Courier New" w:hint="default"/>
      </w:rPr>
    </w:lvl>
    <w:lvl w:ilvl="2" w:tplc="18090005" w:tentative="1">
      <w:start w:val="1"/>
      <w:numFmt w:val="bullet"/>
      <w:lvlText w:val=""/>
      <w:lvlJc w:val="left"/>
      <w:pPr>
        <w:ind w:left="2560" w:hanging="360"/>
      </w:pPr>
      <w:rPr>
        <w:rFonts w:ascii="Wingdings" w:hAnsi="Wingdings" w:hint="default"/>
      </w:rPr>
    </w:lvl>
    <w:lvl w:ilvl="3" w:tplc="18090001" w:tentative="1">
      <w:start w:val="1"/>
      <w:numFmt w:val="bullet"/>
      <w:lvlText w:val=""/>
      <w:lvlJc w:val="left"/>
      <w:pPr>
        <w:ind w:left="3280" w:hanging="360"/>
      </w:pPr>
      <w:rPr>
        <w:rFonts w:ascii="Symbol" w:hAnsi="Symbol" w:hint="default"/>
      </w:rPr>
    </w:lvl>
    <w:lvl w:ilvl="4" w:tplc="18090003" w:tentative="1">
      <w:start w:val="1"/>
      <w:numFmt w:val="bullet"/>
      <w:lvlText w:val="o"/>
      <w:lvlJc w:val="left"/>
      <w:pPr>
        <w:ind w:left="4000" w:hanging="360"/>
      </w:pPr>
      <w:rPr>
        <w:rFonts w:ascii="Courier New" w:hAnsi="Courier New" w:cs="Courier New" w:hint="default"/>
      </w:rPr>
    </w:lvl>
    <w:lvl w:ilvl="5" w:tplc="18090005" w:tentative="1">
      <w:start w:val="1"/>
      <w:numFmt w:val="bullet"/>
      <w:lvlText w:val=""/>
      <w:lvlJc w:val="left"/>
      <w:pPr>
        <w:ind w:left="4720" w:hanging="360"/>
      </w:pPr>
      <w:rPr>
        <w:rFonts w:ascii="Wingdings" w:hAnsi="Wingdings" w:hint="default"/>
      </w:rPr>
    </w:lvl>
    <w:lvl w:ilvl="6" w:tplc="18090001" w:tentative="1">
      <w:start w:val="1"/>
      <w:numFmt w:val="bullet"/>
      <w:lvlText w:val=""/>
      <w:lvlJc w:val="left"/>
      <w:pPr>
        <w:ind w:left="5440" w:hanging="360"/>
      </w:pPr>
      <w:rPr>
        <w:rFonts w:ascii="Symbol" w:hAnsi="Symbol" w:hint="default"/>
      </w:rPr>
    </w:lvl>
    <w:lvl w:ilvl="7" w:tplc="18090003" w:tentative="1">
      <w:start w:val="1"/>
      <w:numFmt w:val="bullet"/>
      <w:lvlText w:val="o"/>
      <w:lvlJc w:val="left"/>
      <w:pPr>
        <w:ind w:left="6160" w:hanging="360"/>
      </w:pPr>
      <w:rPr>
        <w:rFonts w:ascii="Courier New" w:hAnsi="Courier New" w:cs="Courier New" w:hint="default"/>
      </w:rPr>
    </w:lvl>
    <w:lvl w:ilvl="8" w:tplc="18090005" w:tentative="1">
      <w:start w:val="1"/>
      <w:numFmt w:val="bullet"/>
      <w:lvlText w:val=""/>
      <w:lvlJc w:val="left"/>
      <w:pPr>
        <w:ind w:left="6880" w:hanging="360"/>
      </w:pPr>
      <w:rPr>
        <w:rFonts w:ascii="Wingdings" w:hAnsi="Wingdings" w:hint="default"/>
      </w:rPr>
    </w:lvl>
  </w:abstractNum>
  <w:abstractNum w:abstractNumId="2" w15:restartNumberingAfterBreak="0">
    <w:nsid w:val="60DB7C71"/>
    <w:multiLevelType w:val="multilevel"/>
    <w:tmpl w:val="3460D4BE"/>
    <w:lvl w:ilvl="0">
      <w:start w:val="1"/>
      <w:numFmt w:val="decimal"/>
      <w:lvlText w:val="%1"/>
      <w:lvlJc w:val="left"/>
      <w:pPr>
        <w:ind w:left="1120" w:hanging="720"/>
        <w:jc w:val="left"/>
      </w:pPr>
      <w:rPr>
        <w:rFonts w:hint="default"/>
        <w:lang w:val="en-IE" w:eastAsia="en-IE" w:bidi="en-IE"/>
      </w:rPr>
    </w:lvl>
    <w:lvl w:ilvl="1">
      <w:start w:val="1"/>
      <w:numFmt w:val="decimal"/>
      <w:lvlText w:val="%1.%2"/>
      <w:lvlJc w:val="left"/>
      <w:pPr>
        <w:ind w:left="1120" w:hanging="720"/>
        <w:jc w:val="left"/>
      </w:pPr>
      <w:rPr>
        <w:rFonts w:ascii="Arial" w:eastAsia="Arial" w:hAnsi="Arial" w:cs="Arial" w:hint="default"/>
        <w:b/>
        <w:bCs/>
        <w:color w:val="4B6280"/>
        <w:spacing w:val="-1"/>
        <w:w w:val="100"/>
        <w:sz w:val="22"/>
        <w:szCs w:val="22"/>
        <w:lang w:val="en-IE" w:eastAsia="en-IE" w:bidi="en-IE"/>
      </w:rPr>
    </w:lvl>
    <w:lvl w:ilvl="2">
      <w:start w:val="1"/>
      <w:numFmt w:val="decimal"/>
      <w:lvlText w:val="%1.%2.%3"/>
      <w:lvlJc w:val="left"/>
      <w:pPr>
        <w:ind w:left="1120" w:hanging="720"/>
        <w:jc w:val="left"/>
      </w:pPr>
      <w:rPr>
        <w:rFonts w:ascii="Arial" w:eastAsia="Arial" w:hAnsi="Arial" w:cs="Arial" w:hint="default"/>
        <w:b/>
        <w:bCs/>
        <w:color w:val="212A35"/>
        <w:w w:val="100"/>
        <w:sz w:val="22"/>
        <w:szCs w:val="22"/>
        <w:lang w:val="en-IE" w:eastAsia="en-IE" w:bidi="en-IE"/>
      </w:rPr>
    </w:lvl>
    <w:lvl w:ilvl="3">
      <w:numFmt w:val="bullet"/>
      <w:lvlText w:val=""/>
      <w:lvlJc w:val="left"/>
      <w:pPr>
        <w:ind w:left="1120" w:hanging="360"/>
      </w:pPr>
      <w:rPr>
        <w:rFonts w:ascii="Symbol" w:eastAsia="Symbol" w:hAnsi="Symbol" w:cs="Symbol" w:hint="default"/>
        <w:w w:val="100"/>
        <w:sz w:val="22"/>
        <w:szCs w:val="22"/>
        <w:lang w:val="en-IE" w:eastAsia="en-IE" w:bidi="en-IE"/>
      </w:rPr>
    </w:lvl>
    <w:lvl w:ilvl="4">
      <w:numFmt w:val="bullet"/>
      <w:lvlText w:val="•"/>
      <w:lvlJc w:val="left"/>
      <w:pPr>
        <w:ind w:left="4666" w:hanging="360"/>
      </w:pPr>
      <w:rPr>
        <w:rFonts w:hint="default"/>
        <w:lang w:val="en-IE" w:eastAsia="en-IE" w:bidi="en-IE"/>
      </w:rPr>
    </w:lvl>
    <w:lvl w:ilvl="5">
      <w:numFmt w:val="bullet"/>
      <w:lvlText w:val="•"/>
      <w:lvlJc w:val="left"/>
      <w:pPr>
        <w:ind w:left="5553" w:hanging="360"/>
      </w:pPr>
      <w:rPr>
        <w:rFonts w:hint="default"/>
        <w:lang w:val="en-IE" w:eastAsia="en-IE" w:bidi="en-IE"/>
      </w:rPr>
    </w:lvl>
    <w:lvl w:ilvl="6">
      <w:numFmt w:val="bullet"/>
      <w:lvlText w:val="•"/>
      <w:lvlJc w:val="left"/>
      <w:pPr>
        <w:ind w:left="6439" w:hanging="360"/>
      </w:pPr>
      <w:rPr>
        <w:rFonts w:hint="default"/>
        <w:lang w:val="en-IE" w:eastAsia="en-IE" w:bidi="en-IE"/>
      </w:rPr>
    </w:lvl>
    <w:lvl w:ilvl="7">
      <w:numFmt w:val="bullet"/>
      <w:lvlText w:val="•"/>
      <w:lvlJc w:val="left"/>
      <w:pPr>
        <w:ind w:left="7326" w:hanging="360"/>
      </w:pPr>
      <w:rPr>
        <w:rFonts w:hint="default"/>
        <w:lang w:val="en-IE" w:eastAsia="en-IE" w:bidi="en-IE"/>
      </w:rPr>
    </w:lvl>
    <w:lvl w:ilvl="8">
      <w:numFmt w:val="bullet"/>
      <w:lvlText w:val="•"/>
      <w:lvlJc w:val="left"/>
      <w:pPr>
        <w:ind w:left="8213" w:hanging="360"/>
      </w:pPr>
      <w:rPr>
        <w:rFonts w:hint="default"/>
        <w:lang w:val="en-IE" w:eastAsia="en-IE" w:bidi="en-IE"/>
      </w:rPr>
    </w:lvl>
  </w:abstractNum>
  <w:abstractNum w:abstractNumId="3" w15:restartNumberingAfterBreak="0">
    <w:nsid w:val="7094322E"/>
    <w:multiLevelType w:val="hybridMultilevel"/>
    <w:tmpl w:val="B8228EAE"/>
    <w:lvl w:ilvl="0" w:tplc="1138E32E">
      <w:start w:val="1"/>
      <w:numFmt w:val="decimal"/>
      <w:lvlText w:val="%1."/>
      <w:lvlJc w:val="left"/>
      <w:pPr>
        <w:ind w:left="1120" w:hanging="360"/>
        <w:jc w:val="right"/>
      </w:pPr>
      <w:rPr>
        <w:rFonts w:hint="default"/>
        <w:b/>
        <w:bCs/>
        <w:spacing w:val="-1"/>
        <w:w w:val="100"/>
        <w:lang w:val="en-IE" w:eastAsia="en-IE" w:bidi="en-IE"/>
      </w:rPr>
    </w:lvl>
    <w:lvl w:ilvl="1" w:tplc="1E44636E">
      <w:numFmt w:val="bullet"/>
      <w:lvlText w:val="•"/>
      <w:lvlJc w:val="left"/>
      <w:pPr>
        <w:ind w:left="2006" w:hanging="360"/>
      </w:pPr>
      <w:rPr>
        <w:rFonts w:hint="default"/>
        <w:lang w:val="en-IE" w:eastAsia="en-IE" w:bidi="en-IE"/>
      </w:rPr>
    </w:lvl>
    <w:lvl w:ilvl="2" w:tplc="C88AE62A">
      <w:numFmt w:val="bullet"/>
      <w:lvlText w:val="•"/>
      <w:lvlJc w:val="left"/>
      <w:pPr>
        <w:ind w:left="2893" w:hanging="360"/>
      </w:pPr>
      <w:rPr>
        <w:rFonts w:hint="default"/>
        <w:lang w:val="en-IE" w:eastAsia="en-IE" w:bidi="en-IE"/>
      </w:rPr>
    </w:lvl>
    <w:lvl w:ilvl="3" w:tplc="56AEB386">
      <w:numFmt w:val="bullet"/>
      <w:lvlText w:val="•"/>
      <w:lvlJc w:val="left"/>
      <w:pPr>
        <w:ind w:left="3779" w:hanging="360"/>
      </w:pPr>
      <w:rPr>
        <w:rFonts w:hint="default"/>
        <w:lang w:val="en-IE" w:eastAsia="en-IE" w:bidi="en-IE"/>
      </w:rPr>
    </w:lvl>
    <w:lvl w:ilvl="4" w:tplc="A8AA17D2">
      <w:numFmt w:val="bullet"/>
      <w:lvlText w:val="•"/>
      <w:lvlJc w:val="left"/>
      <w:pPr>
        <w:ind w:left="4666" w:hanging="360"/>
      </w:pPr>
      <w:rPr>
        <w:rFonts w:hint="default"/>
        <w:lang w:val="en-IE" w:eastAsia="en-IE" w:bidi="en-IE"/>
      </w:rPr>
    </w:lvl>
    <w:lvl w:ilvl="5" w:tplc="1F461A98">
      <w:numFmt w:val="bullet"/>
      <w:lvlText w:val="•"/>
      <w:lvlJc w:val="left"/>
      <w:pPr>
        <w:ind w:left="5553" w:hanging="360"/>
      </w:pPr>
      <w:rPr>
        <w:rFonts w:hint="default"/>
        <w:lang w:val="en-IE" w:eastAsia="en-IE" w:bidi="en-IE"/>
      </w:rPr>
    </w:lvl>
    <w:lvl w:ilvl="6" w:tplc="A23C4934">
      <w:numFmt w:val="bullet"/>
      <w:lvlText w:val="•"/>
      <w:lvlJc w:val="left"/>
      <w:pPr>
        <w:ind w:left="6439" w:hanging="360"/>
      </w:pPr>
      <w:rPr>
        <w:rFonts w:hint="default"/>
        <w:lang w:val="en-IE" w:eastAsia="en-IE" w:bidi="en-IE"/>
      </w:rPr>
    </w:lvl>
    <w:lvl w:ilvl="7" w:tplc="D9C84C72">
      <w:numFmt w:val="bullet"/>
      <w:lvlText w:val="•"/>
      <w:lvlJc w:val="left"/>
      <w:pPr>
        <w:ind w:left="7326" w:hanging="360"/>
      </w:pPr>
      <w:rPr>
        <w:rFonts w:hint="default"/>
        <w:lang w:val="en-IE" w:eastAsia="en-IE" w:bidi="en-IE"/>
      </w:rPr>
    </w:lvl>
    <w:lvl w:ilvl="8" w:tplc="11EE5A2A">
      <w:numFmt w:val="bullet"/>
      <w:lvlText w:val="•"/>
      <w:lvlJc w:val="left"/>
      <w:pPr>
        <w:ind w:left="8213" w:hanging="360"/>
      </w:pPr>
      <w:rPr>
        <w:rFonts w:hint="default"/>
        <w:lang w:val="en-IE" w:eastAsia="en-IE" w:bidi="en-I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68"/>
    <w:rsid w:val="000465B8"/>
    <w:rsid w:val="000636DB"/>
    <w:rsid w:val="000D02B0"/>
    <w:rsid w:val="0012661B"/>
    <w:rsid w:val="002314B7"/>
    <w:rsid w:val="00243EDF"/>
    <w:rsid w:val="00250FC7"/>
    <w:rsid w:val="002543B1"/>
    <w:rsid w:val="0037788C"/>
    <w:rsid w:val="003A75A8"/>
    <w:rsid w:val="00401BD4"/>
    <w:rsid w:val="00504340"/>
    <w:rsid w:val="00585281"/>
    <w:rsid w:val="005F5A25"/>
    <w:rsid w:val="00671EDD"/>
    <w:rsid w:val="006E6BC9"/>
    <w:rsid w:val="0070725F"/>
    <w:rsid w:val="00776694"/>
    <w:rsid w:val="00832B0C"/>
    <w:rsid w:val="00A4365D"/>
    <w:rsid w:val="00BA65C6"/>
    <w:rsid w:val="00BA79DC"/>
    <w:rsid w:val="00C53DBC"/>
    <w:rsid w:val="00CE5D04"/>
    <w:rsid w:val="00D500F1"/>
    <w:rsid w:val="00D81505"/>
    <w:rsid w:val="00E26FC1"/>
    <w:rsid w:val="00EC1468"/>
    <w:rsid w:val="00F308C3"/>
    <w:rsid w:val="00F60A68"/>
    <w:rsid w:val="00FC64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EDA173"/>
  <w15:docId w15:val="{30A7D1D8-D511-4821-A027-4CC840A7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IE" w:eastAsia="en-IE" w:bidi="en-IE"/>
    </w:rPr>
  </w:style>
  <w:style w:type="paragraph" w:styleId="Heading1">
    <w:name w:val="heading 1"/>
    <w:basedOn w:val="Normal"/>
    <w:uiPriority w:val="9"/>
    <w:qFormat/>
    <w:pPr>
      <w:ind w:left="112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060" w:hanging="440"/>
    </w:pPr>
    <w:rPr>
      <w:rFonts w:ascii="Times New Roman" w:eastAsia="Times New Roman" w:hAnsi="Times New Roman" w:cs="Times New Roman"/>
      <w:sz w:val="24"/>
      <w:szCs w:val="24"/>
    </w:rPr>
  </w:style>
  <w:style w:type="paragraph" w:styleId="TOC2">
    <w:name w:val="toc 2"/>
    <w:basedOn w:val="Normal"/>
    <w:uiPriority w:val="1"/>
    <w:qFormat/>
    <w:pPr>
      <w:spacing w:before="99"/>
      <w:ind w:left="1499" w:hanging="661"/>
    </w:pPr>
    <w:rPr>
      <w:rFonts w:ascii="Times New Roman" w:eastAsia="Times New Roman" w:hAnsi="Times New Roman" w:cs="Times New Roman"/>
      <w:sz w:val="24"/>
      <w:szCs w:val="24"/>
    </w:rPr>
  </w:style>
  <w:style w:type="paragraph" w:styleId="TOC3">
    <w:name w:val="toc 3"/>
    <w:basedOn w:val="Normal"/>
    <w:uiPriority w:val="1"/>
    <w:qFormat/>
    <w:pPr>
      <w:spacing w:before="101"/>
      <w:ind w:left="1941" w:hanging="882"/>
    </w:pPr>
    <w:rPr>
      <w:rFonts w:ascii="Times New Roman" w:eastAsia="Times New Roman" w:hAnsi="Times New Roman" w:cs="Times New Roman"/>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11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661B"/>
    <w:pPr>
      <w:tabs>
        <w:tab w:val="center" w:pos="4513"/>
        <w:tab w:val="right" w:pos="9026"/>
      </w:tabs>
    </w:pPr>
  </w:style>
  <w:style w:type="character" w:customStyle="1" w:styleId="HeaderChar">
    <w:name w:val="Header Char"/>
    <w:basedOn w:val="DefaultParagraphFont"/>
    <w:link w:val="Header"/>
    <w:uiPriority w:val="99"/>
    <w:rsid w:val="0012661B"/>
    <w:rPr>
      <w:rFonts w:ascii="Arial" w:eastAsia="Arial" w:hAnsi="Arial" w:cs="Arial"/>
      <w:lang w:val="en-IE" w:eastAsia="en-IE" w:bidi="en-IE"/>
    </w:rPr>
  </w:style>
  <w:style w:type="paragraph" w:styleId="Footer">
    <w:name w:val="footer"/>
    <w:basedOn w:val="Normal"/>
    <w:link w:val="FooterChar"/>
    <w:uiPriority w:val="99"/>
    <w:unhideWhenUsed/>
    <w:rsid w:val="0012661B"/>
    <w:pPr>
      <w:tabs>
        <w:tab w:val="center" w:pos="4513"/>
        <w:tab w:val="right" w:pos="9026"/>
      </w:tabs>
    </w:pPr>
  </w:style>
  <w:style w:type="character" w:customStyle="1" w:styleId="FooterChar">
    <w:name w:val="Footer Char"/>
    <w:basedOn w:val="DefaultParagraphFont"/>
    <w:link w:val="Footer"/>
    <w:uiPriority w:val="99"/>
    <w:rsid w:val="0012661B"/>
    <w:rPr>
      <w:rFonts w:ascii="Arial" w:eastAsia="Arial" w:hAnsi="Arial" w:cs="Arial"/>
      <w:lang w:val="en-IE" w:eastAsia="en-IE" w:bidi="en-IE"/>
    </w:rPr>
  </w:style>
  <w:style w:type="paragraph" w:styleId="FootnoteText">
    <w:name w:val="footnote text"/>
    <w:basedOn w:val="Normal"/>
    <w:link w:val="FootnoteTextChar"/>
    <w:uiPriority w:val="99"/>
    <w:semiHidden/>
    <w:unhideWhenUsed/>
    <w:rsid w:val="00EC1468"/>
    <w:rPr>
      <w:sz w:val="20"/>
      <w:szCs w:val="20"/>
    </w:rPr>
  </w:style>
  <w:style w:type="character" w:customStyle="1" w:styleId="FootnoteTextChar">
    <w:name w:val="Footnote Text Char"/>
    <w:basedOn w:val="DefaultParagraphFont"/>
    <w:link w:val="FootnoteText"/>
    <w:uiPriority w:val="99"/>
    <w:semiHidden/>
    <w:rsid w:val="00EC1468"/>
    <w:rPr>
      <w:rFonts w:ascii="Arial" w:eastAsia="Arial" w:hAnsi="Arial" w:cs="Arial"/>
      <w:sz w:val="20"/>
      <w:szCs w:val="20"/>
      <w:lang w:val="en-IE" w:eastAsia="en-IE" w:bidi="en-IE"/>
    </w:rPr>
  </w:style>
  <w:style w:type="character" w:styleId="FootnoteReference">
    <w:name w:val="footnote reference"/>
    <w:basedOn w:val="DefaultParagraphFont"/>
    <w:uiPriority w:val="99"/>
    <w:semiHidden/>
    <w:unhideWhenUsed/>
    <w:rsid w:val="00EC1468"/>
    <w:rPr>
      <w:vertAlign w:val="superscript"/>
    </w:rPr>
  </w:style>
  <w:style w:type="paragraph" w:styleId="TOCHeading">
    <w:name w:val="TOC Heading"/>
    <w:basedOn w:val="Heading1"/>
    <w:next w:val="Normal"/>
    <w:uiPriority w:val="39"/>
    <w:unhideWhenUsed/>
    <w:qFormat/>
    <w:rsid w:val="00D8150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Hyperlink">
    <w:name w:val="Hyperlink"/>
    <w:basedOn w:val="DefaultParagraphFont"/>
    <w:uiPriority w:val="99"/>
    <w:unhideWhenUsed/>
    <w:rsid w:val="00D81505"/>
    <w:rPr>
      <w:color w:val="0000FF" w:themeColor="hyperlink"/>
      <w:u w:val="single"/>
    </w:rPr>
  </w:style>
  <w:style w:type="character" w:styleId="UnresolvedMention">
    <w:name w:val="Unresolved Mention"/>
    <w:basedOn w:val="DefaultParagraphFont"/>
    <w:uiPriority w:val="99"/>
    <w:semiHidden/>
    <w:unhideWhenUsed/>
    <w:rsid w:val="002314B7"/>
    <w:rPr>
      <w:color w:val="605E5C"/>
      <w:shd w:val="clear" w:color="auto" w:fill="E1DFDD"/>
    </w:rPr>
  </w:style>
  <w:style w:type="character" w:styleId="CommentReference">
    <w:name w:val="annotation reference"/>
    <w:basedOn w:val="DefaultParagraphFont"/>
    <w:uiPriority w:val="99"/>
    <w:semiHidden/>
    <w:unhideWhenUsed/>
    <w:rsid w:val="006E6BC9"/>
    <w:rPr>
      <w:sz w:val="16"/>
      <w:szCs w:val="16"/>
    </w:rPr>
  </w:style>
  <w:style w:type="paragraph" w:styleId="CommentText">
    <w:name w:val="annotation text"/>
    <w:basedOn w:val="Normal"/>
    <w:link w:val="CommentTextChar"/>
    <w:uiPriority w:val="99"/>
    <w:semiHidden/>
    <w:unhideWhenUsed/>
    <w:rsid w:val="006E6BC9"/>
    <w:rPr>
      <w:sz w:val="20"/>
      <w:szCs w:val="20"/>
    </w:rPr>
  </w:style>
  <w:style w:type="character" w:customStyle="1" w:styleId="CommentTextChar">
    <w:name w:val="Comment Text Char"/>
    <w:basedOn w:val="DefaultParagraphFont"/>
    <w:link w:val="CommentText"/>
    <w:uiPriority w:val="99"/>
    <w:semiHidden/>
    <w:rsid w:val="006E6BC9"/>
    <w:rPr>
      <w:rFonts w:ascii="Arial" w:eastAsia="Arial" w:hAnsi="Arial" w:cs="Arial"/>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6E6BC9"/>
    <w:rPr>
      <w:b/>
      <w:bCs/>
    </w:rPr>
  </w:style>
  <w:style w:type="character" w:customStyle="1" w:styleId="CommentSubjectChar">
    <w:name w:val="Comment Subject Char"/>
    <w:basedOn w:val="CommentTextChar"/>
    <w:link w:val="CommentSubject"/>
    <w:uiPriority w:val="99"/>
    <w:semiHidden/>
    <w:rsid w:val="006E6BC9"/>
    <w:rPr>
      <w:rFonts w:ascii="Arial" w:eastAsia="Arial" w:hAnsi="Arial" w:cs="Arial"/>
      <w:b/>
      <w:bCs/>
      <w:sz w:val="20"/>
      <w:szCs w:val="20"/>
      <w:lang w:val="en-IE" w:eastAsia="en-IE" w:bidi="en-IE"/>
    </w:rPr>
  </w:style>
  <w:style w:type="paragraph" w:styleId="BalloonText">
    <w:name w:val="Balloon Text"/>
    <w:basedOn w:val="Normal"/>
    <w:link w:val="BalloonTextChar"/>
    <w:uiPriority w:val="99"/>
    <w:semiHidden/>
    <w:unhideWhenUsed/>
    <w:rsid w:val="006E6B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BC9"/>
    <w:rPr>
      <w:rFonts w:ascii="Segoe UI" w:eastAsia="Arial" w:hAnsi="Segoe UI" w:cs="Segoe UI"/>
      <w:sz w:val="18"/>
      <w:szCs w:val="18"/>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ie/en/publication/60868-quality-housing-for-sustainable-communities/" TargetMode="External"/><Relationship Id="rId18" Type="http://schemas.openxmlformats.org/officeDocument/2006/relationships/hyperlink" Target="http://www.housing.old.gov.ie/sites/default/files/publications/files/december_2020_-_design_standards_for_new_apartments.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ie/en/publication/a8c85-sustainable-residential-developments-in-urban-areas-guidelines-for-planning-authorities-may-09/" TargetMode="External"/><Relationship Id="rId7" Type="http://schemas.openxmlformats.org/officeDocument/2006/relationships/endnotes" Target="endnotes.xml"/><Relationship Id="rId12" Type="http://schemas.openxmlformats.org/officeDocument/2006/relationships/hyperlink" Target="https://www.gov.ie/en/publication/60868-quality-housing-for-sustainable-communities/" TargetMode="External"/><Relationship Id="rId17" Type="http://schemas.openxmlformats.org/officeDocument/2006/relationships/hyperlink" Target="http://www.housing.old.gov.ie/housing/quality-housing-design-series/employers-requirements-detail-design-quality-housing-0" TargetMode="External"/><Relationship Id="rId25" Type="http://schemas.openxmlformats.org/officeDocument/2006/relationships/hyperlink" Target="mailto:affordablehousing@tipperarycoco.ie" TargetMode="External"/><Relationship Id="rId2" Type="http://schemas.openxmlformats.org/officeDocument/2006/relationships/numbering" Target="numbering.xml"/><Relationship Id="rId16" Type="http://schemas.openxmlformats.org/officeDocument/2006/relationships/hyperlink" Target="http://www.housing.old.gov.ie/housing/quality-housing-design-series/employers-requirements-detail-design-quality-housing-0" TargetMode="External"/><Relationship Id="rId20" Type="http://schemas.openxmlformats.org/officeDocument/2006/relationships/hyperlink" Target="https://www.gov.ie/en/publication/a8c85-sustainable-residential-developments-in-urban-areas-guidelines-for-planning-authorities-may-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pperarycoco.ie/news/proposed-amendments-draft-tipperary-county-development-plan-2022-2028" TargetMode="External"/><Relationship Id="rId24" Type="http://schemas.openxmlformats.org/officeDocument/2006/relationships/hyperlink" Target="https://www.gov.ie/en/publication/3360b1-design-manual-for-urban-roads-and-streets/" TargetMode="External"/><Relationship Id="rId5" Type="http://schemas.openxmlformats.org/officeDocument/2006/relationships/webSettings" Target="webSettings.xml"/><Relationship Id="rId15" Type="http://schemas.openxmlformats.org/officeDocument/2006/relationships/hyperlink" Target="https://www.opr.ie/wp-content/uploads/2019/08/2007-Delivering-Homes-Sustaining-Communities-Hsing-Policy-1.pdf" TargetMode="External"/><Relationship Id="rId23" Type="http://schemas.openxmlformats.org/officeDocument/2006/relationships/hyperlink" Target="https://www.gov.ie/en/publication/3360b1-design-manual-for-urban-roads-and-streets/" TargetMode="External"/><Relationship Id="rId28" Type="http://schemas.openxmlformats.org/officeDocument/2006/relationships/fontTable" Target="fontTable.xml"/><Relationship Id="rId10" Type="http://schemas.openxmlformats.org/officeDocument/2006/relationships/hyperlink" Target="mailto:affordablehousing@tipperarycoco.ie" TargetMode="External"/><Relationship Id="rId19" Type="http://schemas.openxmlformats.org/officeDocument/2006/relationships/hyperlink" Target="http://www.housing.old.gov.ie/sites/default/files/publications/files/december_2020_-_design_standards_for_new_apartment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pr.ie/wp-content/uploads/2019/08/2007-Delivering-Homes-Sustaining-Communities-Hsing-Policy-1.pdf" TargetMode="External"/><Relationship Id="rId22" Type="http://schemas.openxmlformats.org/officeDocument/2006/relationships/hyperlink" Target="https://www.gov.ie/en/publication/a8c85-sustainable-residential-developments-in-urban-areas-guidelines-for-planning-authorities-may-09/"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8449B-792E-4EA8-BE27-22CE596E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Brigid Fitzgerald</dc:creator>
  <cp:lastModifiedBy>O'Dwyer, Stephanie</cp:lastModifiedBy>
  <cp:revision>3</cp:revision>
  <dcterms:created xsi:type="dcterms:W3CDTF">2025-06-06T09:24:00Z</dcterms:created>
  <dcterms:modified xsi:type="dcterms:W3CDTF">2025-06-06T13:56:00Z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Word for Office 365</vt:lpwstr>
  </property>
  <property fmtid="{D5CDD505-2E9C-101B-9397-08002B2CF9AE}" pid="4" name="LastSaved">
    <vt:filetime>2022-05-23T00:00:00Z</vt:filetime>
  </property>
</Properties>
</file>