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75DC" w14:textId="212E1DFA" w:rsidR="00866281" w:rsidRDefault="00866281" w:rsidP="00D91C26">
      <w:r>
        <w:rPr>
          <w:rFonts w:ascii="Verdana" w:hAnsi="Verdana"/>
          <w:noProof/>
          <w:sz w:val="24"/>
          <w:szCs w:val="24"/>
          <w:lang w:eastAsia="en-IE"/>
        </w:rPr>
        <w:drawing>
          <wp:anchor distT="0" distB="0" distL="114300" distR="114300" simplePos="0" relativeHeight="251659264" behindDoc="0" locked="0" layoutInCell="1" allowOverlap="1" wp14:anchorId="4768D9DF" wp14:editId="36BAC936">
            <wp:simplePos x="0" y="0"/>
            <wp:positionH relativeFrom="page">
              <wp:align>left</wp:align>
            </wp:positionH>
            <wp:positionV relativeFrom="paragraph">
              <wp:posOffset>-917575</wp:posOffset>
            </wp:positionV>
            <wp:extent cx="7664843" cy="1971675"/>
            <wp:effectExtent l="0" t="0" r="0" b="0"/>
            <wp:wrapNone/>
            <wp:docPr id="2" name="Picture 1" descr="TCC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Letterhea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64843" cy="1971675"/>
                    </a:xfrm>
                    <a:prstGeom prst="rect">
                      <a:avLst/>
                    </a:prstGeom>
                  </pic:spPr>
                </pic:pic>
              </a:graphicData>
            </a:graphic>
            <wp14:sizeRelH relativeFrom="page">
              <wp14:pctWidth>0</wp14:pctWidth>
            </wp14:sizeRelH>
            <wp14:sizeRelV relativeFrom="page">
              <wp14:pctHeight>0</wp14:pctHeight>
            </wp14:sizeRelV>
          </wp:anchor>
        </w:drawing>
      </w:r>
    </w:p>
    <w:p w14:paraId="36E3F9EE" w14:textId="223D570A" w:rsidR="00866281" w:rsidRDefault="00866281" w:rsidP="00D91C26"/>
    <w:p w14:paraId="5A441D43" w14:textId="19B5BC23" w:rsidR="00866281" w:rsidRDefault="00866281" w:rsidP="00D91C26"/>
    <w:p w14:paraId="24682C27" w14:textId="3C50B2BE" w:rsidR="00866281" w:rsidRDefault="00866281" w:rsidP="00D91C26"/>
    <w:p w14:paraId="05883993" w14:textId="689E62C6" w:rsidR="00866281" w:rsidRDefault="00866281" w:rsidP="00D91C26"/>
    <w:p w14:paraId="100755B0" w14:textId="7AC50422" w:rsidR="00866281" w:rsidRDefault="00866281" w:rsidP="00D91C26"/>
    <w:p w14:paraId="76A80CD1" w14:textId="7ED0800F" w:rsidR="008C4C52" w:rsidRDefault="008C4C52" w:rsidP="008C4C52">
      <w:pPr>
        <w:pStyle w:val="NormalWeb"/>
      </w:pPr>
      <w:r>
        <w:rPr>
          <w:noProof/>
        </w:rPr>
        <w:drawing>
          <wp:inline distT="0" distB="0" distL="0" distR="0" wp14:anchorId="74CAEA9C" wp14:editId="2DBB07AB">
            <wp:extent cx="2855553" cy="880745"/>
            <wp:effectExtent l="0" t="0" r="2540" b="0"/>
            <wp:docPr id="1" name="Picture 1" descr="\\tcc-file-02\Shared\Groups\Community &amp; Enterprise\Tipperary County\8.35 Overall Department Grant position\Governance\Branding and Logos\DRCDG Branding Guidelines\DRCDG Logos\govt_2040_lockup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c-file-02\Shared\Groups\Community &amp; Enterprise\Tipperary County\8.35 Overall Department Grant position\Governance\Branding and Logos\DRCDG Branding Guidelines\DRCDG Logos\govt_2040_lockup_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5488" cy="954749"/>
                    </a:xfrm>
                    <a:prstGeom prst="rect">
                      <a:avLst/>
                    </a:prstGeom>
                    <a:noFill/>
                    <a:ln>
                      <a:noFill/>
                    </a:ln>
                  </pic:spPr>
                </pic:pic>
              </a:graphicData>
            </a:graphic>
          </wp:inline>
        </w:drawing>
      </w:r>
      <w:r>
        <w:rPr>
          <w:noProof/>
        </w:rPr>
        <w:drawing>
          <wp:inline distT="0" distB="0" distL="0" distR="0" wp14:anchorId="65833C2A" wp14:editId="7F26AD00">
            <wp:extent cx="2659380" cy="860425"/>
            <wp:effectExtent l="0" t="0" r="0" b="0"/>
            <wp:docPr id="3" name="Picture 3" descr="\\tcc-file-02\Shared\Groups\Community &amp; Enterprise\Tipperary County\8.35 Overall Department Grant position\Governance\Branding and Logos\DRCDG Branding Guidelines\DRCDG Logos\Our Rural Future_Logo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cc-file-02\Shared\Groups\Community &amp; Enterprise\Tipperary County\8.35 Overall Department Grant position\Governance\Branding and Logos\DRCDG Branding Guidelines\DRCDG Logos\Our Rural Future_Logo_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0258" cy="860709"/>
                    </a:xfrm>
                    <a:prstGeom prst="rect">
                      <a:avLst/>
                    </a:prstGeom>
                    <a:noFill/>
                    <a:ln>
                      <a:noFill/>
                    </a:ln>
                  </pic:spPr>
                </pic:pic>
              </a:graphicData>
            </a:graphic>
          </wp:inline>
        </w:drawing>
      </w:r>
    </w:p>
    <w:p w14:paraId="081CCBD1" w14:textId="1498DE72" w:rsidR="008C4C52" w:rsidRPr="008C4C52" w:rsidRDefault="00BF6D96" w:rsidP="008C4C52">
      <w:pPr>
        <w:rPr>
          <w:b/>
          <w:sz w:val="24"/>
          <w:szCs w:val="24"/>
        </w:rPr>
      </w:pPr>
      <w:r>
        <w:rPr>
          <w:b/>
          <w:sz w:val="24"/>
          <w:szCs w:val="24"/>
        </w:rPr>
        <w:t>22</w:t>
      </w:r>
      <w:r w:rsidRPr="00BF6D96">
        <w:rPr>
          <w:b/>
          <w:sz w:val="24"/>
          <w:szCs w:val="24"/>
          <w:vertAlign w:val="superscript"/>
        </w:rPr>
        <w:t>nd</w:t>
      </w:r>
      <w:r>
        <w:rPr>
          <w:b/>
          <w:sz w:val="24"/>
          <w:szCs w:val="24"/>
        </w:rPr>
        <w:t xml:space="preserve"> of December 2025</w:t>
      </w:r>
    </w:p>
    <w:p w14:paraId="6535F451" w14:textId="77777777" w:rsidR="008C4C52" w:rsidRPr="008C4C52" w:rsidRDefault="008C4C52" w:rsidP="00D91C26">
      <w:pPr>
        <w:rPr>
          <w:b/>
          <w:sz w:val="24"/>
          <w:szCs w:val="24"/>
        </w:rPr>
      </w:pPr>
    </w:p>
    <w:p w14:paraId="0A141644" w14:textId="3DE03F95" w:rsidR="00866281" w:rsidRPr="00CE645F" w:rsidRDefault="00866281" w:rsidP="00D91C26">
      <w:pPr>
        <w:jc w:val="center"/>
        <w:rPr>
          <w:b/>
          <w:sz w:val="32"/>
          <w:szCs w:val="32"/>
        </w:rPr>
      </w:pPr>
      <w:r w:rsidRPr="00CE645F">
        <w:rPr>
          <w:b/>
          <w:sz w:val="32"/>
          <w:szCs w:val="32"/>
        </w:rPr>
        <w:t>Press Release – Tipperary County Council</w:t>
      </w:r>
    </w:p>
    <w:p w14:paraId="0C895D2C" w14:textId="0CC81ECE" w:rsidR="00866281" w:rsidRPr="00CE645F" w:rsidRDefault="00866281" w:rsidP="00D91C26">
      <w:pPr>
        <w:jc w:val="center"/>
        <w:rPr>
          <w:sz w:val="32"/>
          <w:szCs w:val="32"/>
        </w:rPr>
      </w:pPr>
    </w:p>
    <w:p w14:paraId="745272B0" w14:textId="07D4BFF5" w:rsidR="00866281" w:rsidRPr="009A673F" w:rsidRDefault="004C1E90" w:rsidP="009230FA">
      <w:pPr>
        <w:jc w:val="center"/>
        <w:rPr>
          <w:b/>
          <w:sz w:val="32"/>
          <w:szCs w:val="32"/>
        </w:rPr>
      </w:pPr>
      <w:r w:rsidRPr="009A673F">
        <w:rPr>
          <w:b/>
          <w:sz w:val="32"/>
          <w:szCs w:val="32"/>
        </w:rPr>
        <w:t xml:space="preserve">Funding </w:t>
      </w:r>
      <w:r w:rsidR="00A31595" w:rsidRPr="009A673F">
        <w:rPr>
          <w:b/>
          <w:sz w:val="32"/>
          <w:szCs w:val="32"/>
        </w:rPr>
        <w:t xml:space="preserve">Awarded </w:t>
      </w:r>
      <w:r w:rsidRPr="009A673F">
        <w:rPr>
          <w:b/>
          <w:sz w:val="32"/>
          <w:szCs w:val="32"/>
        </w:rPr>
        <w:t xml:space="preserve">under </w:t>
      </w:r>
      <w:r w:rsidR="00A31595" w:rsidRPr="009A673F">
        <w:rPr>
          <w:b/>
          <w:sz w:val="32"/>
          <w:szCs w:val="32"/>
        </w:rPr>
        <w:t xml:space="preserve">the </w:t>
      </w:r>
      <w:r w:rsidR="00386480">
        <w:rPr>
          <w:b/>
          <w:sz w:val="32"/>
          <w:szCs w:val="32"/>
        </w:rPr>
        <w:t xml:space="preserve">2025 </w:t>
      </w:r>
      <w:r w:rsidR="009230FA">
        <w:rPr>
          <w:b/>
          <w:sz w:val="32"/>
          <w:szCs w:val="32"/>
        </w:rPr>
        <w:t xml:space="preserve">Town &amp; village Renewal Main Scheme &amp; Project Development Measure. </w:t>
      </w:r>
    </w:p>
    <w:p w14:paraId="7E57265D" w14:textId="77777777" w:rsidR="00866281" w:rsidRPr="009A673F" w:rsidRDefault="00866281" w:rsidP="00D91C26">
      <w:pPr>
        <w:rPr>
          <w:sz w:val="32"/>
          <w:szCs w:val="32"/>
        </w:rPr>
      </w:pPr>
    </w:p>
    <w:p w14:paraId="1C99FD42" w14:textId="286EC175" w:rsidR="00866281" w:rsidRPr="00BF6D96" w:rsidRDefault="004C1E90" w:rsidP="008B5331">
      <w:pPr>
        <w:rPr>
          <w:rFonts w:cstheme="minorHAnsi"/>
          <w:sz w:val="24"/>
          <w:szCs w:val="24"/>
        </w:rPr>
      </w:pPr>
      <w:r w:rsidRPr="004C1E90">
        <w:rPr>
          <w:rFonts w:cstheme="minorHAnsi"/>
          <w:color w:val="0B0C0C"/>
          <w:sz w:val="24"/>
          <w:szCs w:val="24"/>
        </w:rPr>
        <w:t xml:space="preserve">Minister for Rural and Community Development and the Gaeltacht, Dara Calleary TD </w:t>
      </w:r>
      <w:r w:rsidR="00CE645F">
        <w:rPr>
          <w:rFonts w:cstheme="minorHAnsi"/>
          <w:color w:val="0B0C0C"/>
          <w:sz w:val="24"/>
          <w:szCs w:val="24"/>
        </w:rPr>
        <w:t>has</w:t>
      </w:r>
      <w:r>
        <w:rPr>
          <w:rFonts w:cstheme="minorHAnsi"/>
          <w:color w:val="0B0C0C"/>
          <w:sz w:val="24"/>
          <w:szCs w:val="24"/>
        </w:rPr>
        <w:t xml:space="preserve"> </w:t>
      </w:r>
      <w:r w:rsidRPr="004C1E90">
        <w:rPr>
          <w:rFonts w:cstheme="minorHAnsi"/>
          <w:color w:val="0B0C0C"/>
          <w:sz w:val="24"/>
          <w:szCs w:val="24"/>
        </w:rPr>
        <w:t xml:space="preserve">announced </w:t>
      </w:r>
      <w:r w:rsidRPr="00EB19EC">
        <w:rPr>
          <w:rFonts w:cstheme="minorHAnsi"/>
          <w:color w:val="0B0C0C"/>
          <w:sz w:val="24"/>
          <w:szCs w:val="24"/>
        </w:rPr>
        <w:t xml:space="preserve">funding of </w:t>
      </w:r>
      <w:r w:rsidRPr="00EB19EC">
        <w:rPr>
          <w:rFonts w:eastAsia="Times New Roman" w:cstheme="minorHAnsi"/>
          <w:b/>
          <w:bCs/>
          <w:color w:val="333333"/>
          <w:sz w:val="24"/>
          <w:szCs w:val="24"/>
          <w:lang w:eastAsia="en-IE"/>
        </w:rPr>
        <w:t>€</w:t>
      </w:r>
      <w:r w:rsidR="00BF6D96">
        <w:rPr>
          <w:rFonts w:eastAsia="Times New Roman" w:cstheme="minorHAnsi"/>
          <w:b/>
          <w:bCs/>
          <w:color w:val="333333"/>
          <w:sz w:val="24"/>
          <w:szCs w:val="24"/>
          <w:lang w:eastAsia="en-IE"/>
        </w:rPr>
        <w:t xml:space="preserve">912,950 </w:t>
      </w:r>
      <w:r w:rsidRPr="00EB19EC">
        <w:rPr>
          <w:rFonts w:cstheme="minorHAnsi"/>
          <w:color w:val="0B0C0C"/>
          <w:sz w:val="24"/>
          <w:szCs w:val="24"/>
        </w:rPr>
        <w:t xml:space="preserve">for </w:t>
      </w:r>
      <w:r w:rsidR="00BF6D96">
        <w:rPr>
          <w:rFonts w:cstheme="minorHAnsi"/>
          <w:b/>
          <w:color w:val="0B0C0C"/>
          <w:sz w:val="24"/>
          <w:szCs w:val="24"/>
        </w:rPr>
        <w:t>3</w:t>
      </w:r>
      <w:r w:rsidR="00F214E6" w:rsidRPr="00EB19EC">
        <w:rPr>
          <w:rFonts w:cstheme="minorHAnsi"/>
          <w:color w:val="0B0C0C"/>
          <w:sz w:val="24"/>
          <w:szCs w:val="24"/>
        </w:rPr>
        <w:t xml:space="preserve"> projects</w:t>
      </w:r>
      <w:r w:rsidR="00F214E6">
        <w:rPr>
          <w:rFonts w:cstheme="minorHAnsi"/>
          <w:color w:val="0B0C0C"/>
          <w:sz w:val="24"/>
          <w:szCs w:val="24"/>
        </w:rPr>
        <w:t xml:space="preserve"> </w:t>
      </w:r>
      <w:r w:rsidRPr="004C1E90">
        <w:rPr>
          <w:rFonts w:cstheme="minorHAnsi"/>
          <w:color w:val="0B0C0C"/>
          <w:sz w:val="24"/>
          <w:szCs w:val="24"/>
        </w:rPr>
        <w:t>across Co. Tipperary</w:t>
      </w:r>
      <w:r w:rsidR="00F214E6">
        <w:rPr>
          <w:rFonts w:cstheme="minorHAnsi"/>
          <w:color w:val="0B0C0C"/>
          <w:sz w:val="24"/>
          <w:szCs w:val="24"/>
        </w:rPr>
        <w:t xml:space="preserve"> under the </w:t>
      </w:r>
      <w:r w:rsidR="00BF6D96">
        <w:rPr>
          <w:rFonts w:cstheme="minorHAnsi"/>
          <w:color w:val="0B0C0C"/>
          <w:sz w:val="24"/>
          <w:szCs w:val="24"/>
        </w:rPr>
        <w:t xml:space="preserve">Town &amp; Village Renewal Main Scheme and </w:t>
      </w:r>
      <w:r w:rsidR="00BF6D96" w:rsidRPr="00BF6D96">
        <w:rPr>
          <w:rFonts w:cstheme="minorHAnsi"/>
          <w:b/>
          <w:bCs/>
          <w:color w:val="0B0C0C"/>
          <w:sz w:val="24"/>
          <w:szCs w:val="24"/>
        </w:rPr>
        <w:t>€100,000</w:t>
      </w:r>
      <w:r w:rsidR="00BF6D96">
        <w:rPr>
          <w:rFonts w:cstheme="minorHAnsi"/>
          <w:b/>
          <w:bCs/>
          <w:color w:val="0B0C0C"/>
          <w:sz w:val="24"/>
          <w:szCs w:val="24"/>
        </w:rPr>
        <w:t xml:space="preserve"> </w:t>
      </w:r>
      <w:r w:rsidR="00BF6D96">
        <w:rPr>
          <w:rFonts w:cstheme="minorHAnsi"/>
          <w:color w:val="0B0C0C"/>
          <w:sz w:val="24"/>
          <w:szCs w:val="24"/>
        </w:rPr>
        <w:t xml:space="preserve">for </w:t>
      </w:r>
      <w:r w:rsidR="00BF6D96">
        <w:rPr>
          <w:rFonts w:cstheme="minorHAnsi"/>
          <w:b/>
          <w:bCs/>
          <w:color w:val="0B0C0C"/>
          <w:sz w:val="24"/>
          <w:szCs w:val="24"/>
        </w:rPr>
        <w:t xml:space="preserve">2 </w:t>
      </w:r>
      <w:r w:rsidR="00BF6D96">
        <w:rPr>
          <w:rFonts w:cstheme="minorHAnsi"/>
          <w:color w:val="0B0C0C"/>
          <w:sz w:val="24"/>
          <w:szCs w:val="24"/>
        </w:rPr>
        <w:t xml:space="preserve">projects under the Town and Village Renewal Project Development Measure. </w:t>
      </w:r>
    </w:p>
    <w:p w14:paraId="29D4880A" w14:textId="5973C00C" w:rsidR="007759FA" w:rsidRDefault="007759FA" w:rsidP="00D91C26">
      <w:pPr>
        <w:shd w:val="clear" w:color="auto" w:fill="FFFFFF"/>
        <w:rPr>
          <w:rFonts w:cstheme="minorHAnsi"/>
          <w:sz w:val="24"/>
          <w:szCs w:val="24"/>
        </w:rPr>
      </w:pPr>
    </w:p>
    <w:p w14:paraId="44AAFC55" w14:textId="1EB73C67" w:rsidR="00C4648D" w:rsidRDefault="004A7D47" w:rsidP="00105C11">
      <w:pPr>
        <w:shd w:val="clear" w:color="auto" w:fill="FFFFFF"/>
        <w:rPr>
          <w:rFonts w:cstheme="minorHAnsi"/>
          <w:sz w:val="24"/>
          <w:szCs w:val="24"/>
        </w:rPr>
      </w:pPr>
      <w:r w:rsidRPr="004A7D47">
        <w:rPr>
          <w:rFonts w:cstheme="minorHAnsi"/>
          <w:sz w:val="24"/>
          <w:szCs w:val="24"/>
        </w:rPr>
        <w:t>The funding, which is provided under the Town and Village Renewal Scheme (TVRS), is being invested in projects that will rejuvenate town centres, drive economic growth and town footfall, combat dereliction and vacancy, develop pedestrian zones and outdoor spaces and boost tourism in rural Ireland</w:t>
      </w:r>
      <w:r>
        <w:rPr>
          <w:rFonts w:cstheme="minorHAnsi"/>
          <w:sz w:val="24"/>
          <w:szCs w:val="24"/>
        </w:rPr>
        <w:t xml:space="preserve">. </w:t>
      </w:r>
      <w:r w:rsidR="00C4648D">
        <w:rPr>
          <w:rFonts w:cstheme="minorHAnsi"/>
          <w:sz w:val="24"/>
          <w:szCs w:val="24"/>
        </w:rPr>
        <w:t>The successful projects are as follows:</w:t>
      </w:r>
    </w:p>
    <w:p w14:paraId="6A121DDE" w14:textId="77777777" w:rsidR="00C4648D" w:rsidRDefault="00C4648D" w:rsidP="00105C11">
      <w:pPr>
        <w:shd w:val="clear" w:color="auto" w:fill="FFFFFF"/>
        <w:rPr>
          <w:rFonts w:cstheme="minorHAnsi"/>
          <w:sz w:val="24"/>
          <w:szCs w:val="24"/>
        </w:rPr>
      </w:pPr>
    </w:p>
    <w:p w14:paraId="1C697206" w14:textId="4567E141" w:rsidR="00C4648D" w:rsidRDefault="00C4648D" w:rsidP="00C4648D">
      <w:pPr>
        <w:jc w:val="center"/>
        <w:rPr>
          <w:sz w:val="24"/>
          <w:szCs w:val="24"/>
        </w:rPr>
      </w:pPr>
    </w:p>
    <w:tbl>
      <w:tblPr>
        <w:tblW w:w="9016" w:type="dxa"/>
        <w:tblLook w:val="04A0" w:firstRow="1" w:lastRow="0" w:firstColumn="1" w:lastColumn="0" w:noHBand="0" w:noVBand="1"/>
      </w:tblPr>
      <w:tblGrid>
        <w:gridCol w:w="2830"/>
        <w:gridCol w:w="4678"/>
        <w:gridCol w:w="1508"/>
      </w:tblGrid>
      <w:tr w:rsidR="00C4648D" w:rsidRPr="0001294D" w14:paraId="7A344D87" w14:textId="77777777" w:rsidTr="00251FFC">
        <w:trPr>
          <w:trHeight w:val="851"/>
        </w:trPr>
        <w:tc>
          <w:tcPr>
            <w:tcW w:w="2830" w:type="dxa"/>
            <w:tcBorders>
              <w:top w:val="single" w:sz="4" w:space="0" w:color="F4B084"/>
              <w:left w:val="single" w:sz="4" w:space="0" w:color="F4B084"/>
              <w:bottom w:val="single" w:sz="4" w:space="0" w:color="F4B084"/>
              <w:right w:val="single" w:sz="4" w:space="0" w:color="F4B084"/>
            </w:tcBorders>
            <w:shd w:val="clear" w:color="auto" w:fill="FBE4D5" w:themeFill="accent2" w:themeFillTint="33"/>
            <w:vAlign w:val="center"/>
          </w:tcPr>
          <w:p w14:paraId="564D436E" w14:textId="77777777" w:rsidR="00C4648D" w:rsidRDefault="005E407D" w:rsidP="00251FFC">
            <w:pPr>
              <w:spacing w:line="240" w:lineRule="auto"/>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Main Scheme</w:t>
            </w:r>
          </w:p>
          <w:p w14:paraId="2CB233D2" w14:textId="6D20CA05" w:rsidR="001933B6" w:rsidRPr="008C2DC5" w:rsidRDefault="001933B6" w:rsidP="00251FFC">
            <w:pPr>
              <w:spacing w:line="240" w:lineRule="auto"/>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Project Name</w:t>
            </w:r>
          </w:p>
        </w:tc>
        <w:tc>
          <w:tcPr>
            <w:tcW w:w="4678" w:type="dxa"/>
            <w:tcBorders>
              <w:top w:val="single" w:sz="4" w:space="0" w:color="F4B084"/>
              <w:left w:val="single" w:sz="4" w:space="0" w:color="F4B084"/>
              <w:bottom w:val="single" w:sz="4" w:space="0" w:color="F4B084"/>
              <w:right w:val="single" w:sz="4" w:space="0" w:color="F4B084"/>
            </w:tcBorders>
            <w:shd w:val="clear" w:color="auto" w:fill="FBE4D5" w:themeFill="accent2" w:themeFillTint="33"/>
            <w:vAlign w:val="center"/>
          </w:tcPr>
          <w:p w14:paraId="4B7AD322" w14:textId="77777777" w:rsidR="00C4648D" w:rsidRPr="008C2DC5" w:rsidRDefault="00C4648D" w:rsidP="00251FFC">
            <w:pPr>
              <w:spacing w:line="240" w:lineRule="auto"/>
              <w:rPr>
                <w:rFonts w:ascii="Calibri" w:eastAsia="Times New Roman" w:hAnsi="Calibri" w:cs="Calibri"/>
                <w:b/>
                <w:color w:val="000000"/>
                <w:sz w:val="24"/>
                <w:szCs w:val="24"/>
                <w:lang w:eastAsia="en-IE"/>
              </w:rPr>
            </w:pPr>
            <w:r w:rsidRPr="008C2DC5">
              <w:rPr>
                <w:rFonts w:ascii="Calibri" w:eastAsia="Times New Roman" w:hAnsi="Calibri" w:cs="Calibri"/>
                <w:b/>
                <w:color w:val="000000"/>
                <w:sz w:val="24"/>
                <w:szCs w:val="24"/>
                <w:lang w:eastAsia="en-IE"/>
              </w:rPr>
              <w:t>Project</w:t>
            </w:r>
            <w:r>
              <w:rPr>
                <w:rFonts w:ascii="Calibri" w:eastAsia="Times New Roman" w:hAnsi="Calibri" w:cs="Calibri"/>
                <w:b/>
                <w:color w:val="000000"/>
                <w:sz w:val="24"/>
                <w:szCs w:val="24"/>
                <w:lang w:eastAsia="en-IE"/>
              </w:rPr>
              <w:t xml:space="preserve"> Description </w:t>
            </w:r>
          </w:p>
        </w:tc>
        <w:tc>
          <w:tcPr>
            <w:tcW w:w="1508" w:type="dxa"/>
            <w:tcBorders>
              <w:top w:val="single" w:sz="4" w:space="0" w:color="F4B084"/>
              <w:left w:val="single" w:sz="4" w:space="0" w:color="F4B084"/>
              <w:bottom w:val="single" w:sz="4" w:space="0" w:color="F4B084"/>
              <w:right w:val="single" w:sz="4" w:space="0" w:color="F4B084"/>
            </w:tcBorders>
            <w:shd w:val="clear" w:color="auto" w:fill="FBE4D5" w:themeFill="accent2" w:themeFillTint="33"/>
            <w:vAlign w:val="center"/>
          </w:tcPr>
          <w:p w14:paraId="4202A302" w14:textId="77777777" w:rsidR="00C4648D" w:rsidRPr="008C2DC5" w:rsidRDefault="00C4648D" w:rsidP="00251FFC">
            <w:pPr>
              <w:spacing w:line="240" w:lineRule="auto"/>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Grant Allocation</w:t>
            </w:r>
          </w:p>
        </w:tc>
      </w:tr>
      <w:tr w:rsidR="00C4648D" w:rsidRPr="0001294D" w14:paraId="7EE6001C" w14:textId="77777777" w:rsidTr="008B5331">
        <w:trPr>
          <w:trHeight w:val="851"/>
        </w:trPr>
        <w:tc>
          <w:tcPr>
            <w:tcW w:w="2830" w:type="dxa"/>
            <w:tcBorders>
              <w:top w:val="single" w:sz="4" w:space="0" w:color="F4B084"/>
              <w:left w:val="single" w:sz="4" w:space="0" w:color="F4B084"/>
              <w:bottom w:val="single" w:sz="4" w:space="0" w:color="F4B084"/>
              <w:right w:val="single" w:sz="4" w:space="0" w:color="F4B084"/>
            </w:tcBorders>
            <w:vAlign w:val="center"/>
          </w:tcPr>
          <w:p w14:paraId="438F3106" w14:textId="132D0973" w:rsidR="00C4648D" w:rsidRPr="00116FDB" w:rsidRDefault="00BF6D96" w:rsidP="00251FFC">
            <w:pPr>
              <w:spacing w:line="240" w:lineRule="auto"/>
              <w:rPr>
                <w:rFonts w:ascii="Calibri" w:eastAsia="Times New Roman" w:hAnsi="Calibri" w:cs="Calibri"/>
                <w:b/>
                <w:color w:val="000000"/>
                <w:sz w:val="24"/>
                <w:szCs w:val="24"/>
                <w:lang w:eastAsia="en-IE"/>
              </w:rPr>
            </w:pPr>
            <w:r w:rsidRPr="00BF6D96">
              <w:rPr>
                <w:rFonts w:ascii="Calibri" w:eastAsia="Times New Roman" w:hAnsi="Calibri" w:cs="Calibri"/>
                <w:b/>
                <w:color w:val="000000"/>
                <w:sz w:val="24"/>
                <w:szCs w:val="24"/>
                <w:lang w:eastAsia="en-IE"/>
              </w:rPr>
              <w:t>Cashel</w:t>
            </w:r>
            <w:r>
              <w:rPr>
                <w:rFonts w:ascii="Calibri" w:eastAsia="Times New Roman" w:hAnsi="Calibri" w:cs="Calibri"/>
                <w:b/>
                <w:color w:val="000000"/>
                <w:sz w:val="24"/>
                <w:szCs w:val="24"/>
                <w:lang w:eastAsia="en-IE"/>
              </w:rPr>
              <w:t xml:space="preserve"> Town Park </w:t>
            </w:r>
          </w:p>
        </w:tc>
        <w:tc>
          <w:tcPr>
            <w:tcW w:w="4678" w:type="dxa"/>
            <w:tcBorders>
              <w:top w:val="single" w:sz="4" w:space="0" w:color="F4B084"/>
              <w:left w:val="single" w:sz="4" w:space="0" w:color="F4B084"/>
              <w:bottom w:val="single" w:sz="4" w:space="0" w:color="F4B084"/>
              <w:right w:val="single" w:sz="4" w:space="0" w:color="F4B084"/>
            </w:tcBorders>
            <w:vAlign w:val="center"/>
          </w:tcPr>
          <w:p w14:paraId="67588C1E" w14:textId="706A0C2D" w:rsidR="00C4648D" w:rsidRPr="008C4C52" w:rsidRDefault="00BF6D96" w:rsidP="00251FFC">
            <w:pPr>
              <w:spacing w:line="240" w:lineRule="auto"/>
              <w:rPr>
                <w:rFonts w:eastAsia="Times New Roman" w:cstheme="minorHAnsi"/>
                <w:color w:val="000000"/>
                <w:sz w:val="24"/>
                <w:szCs w:val="24"/>
                <w:lang w:eastAsia="en-IE"/>
              </w:rPr>
            </w:pPr>
            <w:r>
              <w:rPr>
                <w:color w:val="000000"/>
                <w:sz w:val="27"/>
                <w:szCs w:val="27"/>
              </w:rPr>
              <w:t>Phase 2 development of the Town Park aims to provide a high-quality park and public amenities in the centre of the town to include further development of the Boardwalk, construction of grass and gravel paths and landscaping to the west of the Bishops Walk.</w:t>
            </w:r>
          </w:p>
        </w:tc>
        <w:tc>
          <w:tcPr>
            <w:tcW w:w="1508" w:type="dxa"/>
            <w:tcBorders>
              <w:top w:val="single" w:sz="4" w:space="0" w:color="F4B084"/>
              <w:left w:val="single" w:sz="4" w:space="0" w:color="F4B084"/>
              <w:bottom w:val="single" w:sz="4" w:space="0" w:color="F4B084"/>
              <w:right w:val="single" w:sz="4" w:space="0" w:color="F4B084"/>
            </w:tcBorders>
            <w:vAlign w:val="center"/>
          </w:tcPr>
          <w:p w14:paraId="4B044C0A" w14:textId="0160D5CF" w:rsidR="00C4648D" w:rsidRPr="008C4C52" w:rsidRDefault="00BF6D96" w:rsidP="00251FFC">
            <w:pPr>
              <w:spacing w:line="240" w:lineRule="auto"/>
              <w:rPr>
                <w:rFonts w:eastAsia="Times New Roman" w:cstheme="minorHAnsi"/>
                <w:color w:val="000000"/>
                <w:sz w:val="24"/>
                <w:szCs w:val="24"/>
                <w:lang w:eastAsia="en-IE"/>
              </w:rPr>
            </w:pPr>
            <w:r w:rsidRPr="00BF6D96">
              <w:rPr>
                <w:rFonts w:eastAsia="Times New Roman" w:cstheme="minorHAnsi"/>
                <w:color w:val="000000"/>
                <w:sz w:val="24"/>
                <w:szCs w:val="24"/>
                <w:lang w:eastAsia="en-IE"/>
              </w:rPr>
              <w:t>€300,000</w:t>
            </w:r>
          </w:p>
        </w:tc>
      </w:tr>
      <w:tr w:rsidR="00C4648D" w:rsidRPr="0001294D" w14:paraId="7281EE7A" w14:textId="77777777" w:rsidTr="008B5331">
        <w:trPr>
          <w:trHeight w:val="851"/>
        </w:trPr>
        <w:tc>
          <w:tcPr>
            <w:tcW w:w="2830" w:type="dxa"/>
            <w:tcBorders>
              <w:top w:val="single" w:sz="4" w:space="0" w:color="F4B084"/>
              <w:left w:val="single" w:sz="4" w:space="0" w:color="F4B084"/>
              <w:bottom w:val="single" w:sz="4" w:space="0" w:color="F4B084"/>
              <w:right w:val="single" w:sz="4" w:space="0" w:color="F4B084"/>
            </w:tcBorders>
            <w:vAlign w:val="center"/>
          </w:tcPr>
          <w:p w14:paraId="6BF25A59" w14:textId="25A8FDF3" w:rsidR="00C4648D" w:rsidRPr="00EB19EC" w:rsidRDefault="00BF6D96" w:rsidP="00251FFC">
            <w:pPr>
              <w:spacing w:line="240" w:lineRule="auto"/>
              <w:rPr>
                <w:rFonts w:ascii="Calibri" w:eastAsia="Times New Roman" w:hAnsi="Calibri" w:cs="Calibri"/>
                <w:b/>
                <w:color w:val="000000"/>
                <w:sz w:val="24"/>
                <w:szCs w:val="24"/>
                <w:lang w:eastAsia="en-IE"/>
              </w:rPr>
            </w:pPr>
            <w:r w:rsidRPr="00BF6D96">
              <w:rPr>
                <w:rFonts w:ascii="Calibri" w:eastAsia="Times New Roman" w:hAnsi="Calibri" w:cs="Calibri"/>
                <w:b/>
                <w:color w:val="000000"/>
                <w:sz w:val="24"/>
                <w:szCs w:val="24"/>
                <w:lang w:eastAsia="en-IE"/>
              </w:rPr>
              <w:t>Nenagh</w:t>
            </w:r>
            <w:r>
              <w:rPr>
                <w:rFonts w:ascii="Calibri" w:eastAsia="Times New Roman" w:hAnsi="Calibri" w:cs="Calibri"/>
                <w:b/>
                <w:color w:val="000000"/>
                <w:sz w:val="24"/>
                <w:szCs w:val="24"/>
                <w:lang w:eastAsia="en-IE"/>
              </w:rPr>
              <w:t xml:space="preserve"> Gaol</w:t>
            </w:r>
          </w:p>
        </w:tc>
        <w:tc>
          <w:tcPr>
            <w:tcW w:w="4678" w:type="dxa"/>
            <w:tcBorders>
              <w:top w:val="single" w:sz="4" w:space="0" w:color="F4B084"/>
              <w:left w:val="single" w:sz="4" w:space="0" w:color="F4B084"/>
              <w:bottom w:val="single" w:sz="4" w:space="0" w:color="F4B084"/>
              <w:right w:val="single" w:sz="4" w:space="0" w:color="F4B084"/>
            </w:tcBorders>
            <w:vAlign w:val="center"/>
          </w:tcPr>
          <w:p w14:paraId="4B810BC2" w14:textId="0C6824D8" w:rsidR="00C4648D" w:rsidRPr="008C4C52" w:rsidRDefault="00BF6D96" w:rsidP="00C4648D">
            <w:pPr>
              <w:spacing w:line="240" w:lineRule="auto"/>
              <w:rPr>
                <w:rFonts w:eastAsia="Times New Roman" w:cstheme="minorHAnsi"/>
                <w:color w:val="000000"/>
                <w:sz w:val="24"/>
                <w:szCs w:val="24"/>
                <w:lang w:eastAsia="en-IE"/>
              </w:rPr>
            </w:pPr>
            <w:r w:rsidRPr="00BF6D96">
              <w:rPr>
                <w:rFonts w:eastAsia="Times New Roman" w:cstheme="minorHAnsi"/>
                <w:color w:val="000000"/>
                <w:sz w:val="24"/>
                <w:szCs w:val="24"/>
                <w:lang w:eastAsia="en-IE"/>
              </w:rPr>
              <w:t>Renovation of 3-storey vacant Gaol lock to provide a visitor experience stimulating economic and social regeneration of the Historic &amp; Cultural Quarter</w:t>
            </w:r>
            <w:r w:rsidR="005E407D">
              <w:rPr>
                <w:rFonts w:eastAsia="Times New Roman" w:cstheme="minorHAnsi"/>
                <w:color w:val="000000"/>
                <w:sz w:val="24"/>
                <w:szCs w:val="24"/>
                <w:lang w:eastAsia="en-IE"/>
              </w:rPr>
              <w:t>.</w:t>
            </w:r>
            <w:r w:rsidRPr="00BF6D96">
              <w:rPr>
                <w:rFonts w:eastAsia="Times New Roman" w:cstheme="minorHAnsi"/>
                <w:color w:val="000000"/>
                <w:sz w:val="24"/>
                <w:szCs w:val="24"/>
                <w:lang w:eastAsia="en-IE"/>
              </w:rPr>
              <w:t xml:space="preserve"> </w:t>
            </w:r>
          </w:p>
        </w:tc>
        <w:tc>
          <w:tcPr>
            <w:tcW w:w="1508" w:type="dxa"/>
            <w:tcBorders>
              <w:top w:val="single" w:sz="4" w:space="0" w:color="F4B084"/>
              <w:left w:val="single" w:sz="4" w:space="0" w:color="F4B084"/>
              <w:bottom w:val="single" w:sz="4" w:space="0" w:color="F4B084"/>
              <w:right w:val="single" w:sz="4" w:space="0" w:color="F4B084"/>
            </w:tcBorders>
            <w:vAlign w:val="center"/>
          </w:tcPr>
          <w:p w14:paraId="30ACDC08" w14:textId="478D975F" w:rsidR="00C4648D" w:rsidRPr="008C4C52" w:rsidRDefault="00BF6D96" w:rsidP="00251FFC">
            <w:pPr>
              <w:spacing w:line="240" w:lineRule="auto"/>
              <w:rPr>
                <w:rFonts w:eastAsia="Times New Roman" w:cstheme="minorHAnsi"/>
                <w:color w:val="000000"/>
                <w:sz w:val="24"/>
                <w:szCs w:val="24"/>
                <w:lang w:eastAsia="en-IE"/>
              </w:rPr>
            </w:pPr>
            <w:r w:rsidRPr="00BF6D96">
              <w:rPr>
                <w:rFonts w:eastAsia="Times New Roman" w:cstheme="minorHAnsi"/>
                <w:color w:val="000000"/>
                <w:sz w:val="24"/>
                <w:szCs w:val="24"/>
                <w:lang w:eastAsia="en-IE"/>
              </w:rPr>
              <w:t>€500,000</w:t>
            </w:r>
          </w:p>
        </w:tc>
      </w:tr>
      <w:tr w:rsidR="008B5331" w:rsidRPr="0001294D" w14:paraId="7B0EAC8B" w14:textId="77777777" w:rsidTr="008B5331">
        <w:trPr>
          <w:trHeight w:val="851"/>
        </w:trPr>
        <w:tc>
          <w:tcPr>
            <w:tcW w:w="2830" w:type="dxa"/>
            <w:tcBorders>
              <w:top w:val="single" w:sz="4" w:space="0" w:color="F4B084"/>
              <w:left w:val="single" w:sz="4" w:space="0" w:color="F4B084"/>
              <w:bottom w:val="single" w:sz="4" w:space="0" w:color="F4B084"/>
              <w:right w:val="single" w:sz="4" w:space="0" w:color="F4B084"/>
            </w:tcBorders>
            <w:vAlign w:val="center"/>
          </w:tcPr>
          <w:p w14:paraId="1B573E85" w14:textId="2EFC5927" w:rsidR="008B5331" w:rsidRPr="00EB19EC" w:rsidRDefault="00BF6D96" w:rsidP="00251FFC">
            <w:pPr>
              <w:spacing w:line="240" w:lineRule="auto"/>
              <w:rPr>
                <w:rFonts w:ascii="Calibri" w:eastAsia="Times New Roman" w:hAnsi="Calibri" w:cs="Calibri"/>
                <w:b/>
                <w:color w:val="000000"/>
                <w:sz w:val="24"/>
                <w:szCs w:val="24"/>
                <w:lang w:eastAsia="en-IE"/>
              </w:rPr>
            </w:pPr>
            <w:r w:rsidRPr="00BF6D96">
              <w:rPr>
                <w:rFonts w:ascii="Calibri" w:eastAsia="Times New Roman" w:hAnsi="Calibri" w:cs="Calibri"/>
                <w:b/>
                <w:color w:val="000000"/>
                <w:sz w:val="24"/>
                <w:szCs w:val="24"/>
                <w:lang w:eastAsia="en-IE"/>
              </w:rPr>
              <w:lastRenderedPageBreak/>
              <w:t>Templemore</w:t>
            </w:r>
            <w:r>
              <w:rPr>
                <w:rFonts w:ascii="Calibri" w:eastAsia="Times New Roman" w:hAnsi="Calibri" w:cs="Calibri"/>
                <w:b/>
                <w:color w:val="000000"/>
                <w:sz w:val="24"/>
                <w:szCs w:val="24"/>
                <w:lang w:eastAsia="en-IE"/>
              </w:rPr>
              <w:t xml:space="preserve"> Town Park </w:t>
            </w:r>
          </w:p>
        </w:tc>
        <w:tc>
          <w:tcPr>
            <w:tcW w:w="4678" w:type="dxa"/>
            <w:tcBorders>
              <w:top w:val="single" w:sz="4" w:space="0" w:color="F4B084"/>
              <w:left w:val="single" w:sz="4" w:space="0" w:color="F4B084"/>
              <w:bottom w:val="single" w:sz="4" w:space="0" w:color="F4B084"/>
              <w:right w:val="single" w:sz="4" w:space="0" w:color="F4B084"/>
            </w:tcBorders>
            <w:vAlign w:val="center"/>
          </w:tcPr>
          <w:p w14:paraId="7D0633ED" w14:textId="0DDE2F65" w:rsidR="008B5331" w:rsidRPr="008C4C52" w:rsidRDefault="00BF6D96" w:rsidP="00C4648D">
            <w:pPr>
              <w:spacing w:line="240" w:lineRule="auto"/>
              <w:rPr>
                <w:rFonts w:eastAsia="Times New Roman" w:cstheme="minorHAnsi"/>
                <w:color w:val="000000"/>
                <w:sz w:val="24"/>
                <w:szCs w:val="24"/>
                <w:lang w:eastAsia="en-IE"/>
              </w:rPr>
            </w:pPr>
            <w:r w:rsidRPr="00BF6D96">
              <w:rPr>
                <w:rFonts w:eastAsia="Times New Roman" w:cstheme="minorHAnsi"/>
                <w:color w:val="000000"/>
                <w:sz w:val="24"/>
                <w:szCs w:val="24"/>
                <w:lang w:eastAsia="en-IE"/>
              </w:rPr>
              <w:t>Enhance the Town Parks local biodiversity and improve the overall visitor experience, to include the development of the car park, resurfacing of pathways, planting of native hedgerows, and the introduction of a tranquil picnic area.</w:t>
            </w:r>
          </w:p>
        </w:tc>
        <w:tc>
          <w:tcPr>
            <w:tcW w:w="1508" w:type="dxa"/>
            <w:tcBorders>
              <w:top w:val="single" w:sz="4" w:space="0" w:color="F4B084"/>
              <w:left w:val="single" w:sz="4" w:space="0" w:color="F4B084"/>
              <w:bottom w:val="single" w:sz="4" w:space="0" w:color="F4B084"/>
              <w:right w:val="single" w:sz="4" w:space="0" w:color="F4B084"/>
            </w:tcBorders>
            <w:vAlign w:val="center"/>
          </w:tcPr>
          <w:p w14:paraId="72031377" w14:textId="75781E5B" w:rsidR="008B5331" w:rsidRPr="008C4C52" w:rsidRDefault="00BF6D96" w:rsidP="00251FFC">
            <w:pPr>
              <w:spacing w:line="240" w:lineRule="auto"/>
              <w:rPr>
                <w:rFonts w:eastAsia="Times New Roman" w:cstheme="minorHAnsi"/>
                <w:color w:val="000000"/>
                <w:sz w:val="24"/>
                <w:szCs w:val="24"/>
                <w:lang w:eastAsia="en-IE"/>
              </w:rPr>
            </w:pPr>
            <w:r w:rsidRPr="00BF6D96">
              <w:rPr>
                <w:rFonts w:eastAsia="Times New Roman" w:cstheme="minorHAnsi"/>
                <w:color w:val="000000"/>
                <w:sz w:val="24"/>
                <w:szCs w:val="24"/>
                <w:lang w:eastAsia="en-IE"/>
              </w:rPr>
              <w:t>€112,950</w:t>
            </w:r>
          </w:p>
        </w:tc>
      </w:tr>
      <w:tr w:rsidR="008B5331" w:rsidRPr="0001294D" w14:paraId="7A795E05" w14:textId="77777777" w:rsidTr="008B5331">
        <w:trPr>
          <w:trHeight w:val="851"/>
        </w:trPr>
        <w:tc>
          <w:tcPr>
            <w:tcW w:w="2830" w:type="dxa"/>
            <w:tcBorders>
              <w:top w:val="single" w:sz="4" w:space="0" w:color="F4B084"/>
              <w:left w:val="single" w:sz="4" w:space="0" w:color="F4B084"/>
              <w:bottom w:val="single" w:sz="4" w:space="0" w:color="F4B084"/>
              <w:right w:val="single" w:sz="4" w:space="0" w:color="F4B084"/>
            </w:tcBorders>
            <w:vAlign w:val="center"/>
          </w:tcPr>
          <w:p w14:paraId="26F00E0F" w14:textId="178164AB" w:rsidR="008B5331" w:rsidRPr="00EB19EC" w:rsidRDefault="008B5331" w:rsidP="00251FFC">
            <w:pPr>
              <w:spacing w:line="240" w:lineRule="auto"/>
              <w:rPr>
                <w:rFonts w:ascii="Calibri" w:eastAsia="Times New Roman" w:hAnsi="Calibri" w:cs="Calibri"/>
                <w:b/>
                <w:color w:val="000000"/>
                <w:sz w:val="24"/>
                <w:szCs w:val="24"/>
                <w:lang w:eastAsia="en-IE"/>
              </w:rPr>
            </w:pPr>
          </w:p>
        </w:tc>
        <w:tc>
          <w:tcPr>
            <w:tcW w:w="4678" w:type="dxa"/>
            <w:tcBorders>
              <w:top w:val="single" w:sz="4" w:space="0" w:color="F4B084"/>
              <w:left w:val="single" w:sz="4" w:space="0" w:color="F4B084"/>
              <w:bottom w:val="single" w:sz="4" w:space="0" w:color="F4B084"/>
              <w:right w:val="single" w:sz="4" w:space="0" w:color="F4B084"/>
            </w:tcBorders>
            <w:vAlign w:val="center"/>
          </w:tcPr>
          <w:p w14:paraId="62581536" w14:textId="12A6791F" w:rsidR="008B5331" w:rsidRPr="008C4C52" w:rsidRDefault="008B5331" w:rsidP="00C4648D">
            <w:pPr>
              <w:spacing w:line="240" w:lineRule="auto"/>
              <w:rPr>
                <w:rFonts w:eastAsia="Times New Roman" w:cstheme="minorHAnsi"/>
                <w:color w:val="000000"/>
                <w:sz w:val="24"/>
                <w:szCs w:val="24"/>
                <w:lang w:eastAsia="en-IE"/>
              </w:rPr>
            </w:pPr>
          </w:p>
        </w:tc>
        <w:tc>
          <w:tcPr>
            <w:tcW w:w="1508" w:type="dxa"/>
            <w:tcBorders>
              <w:top w:val="single" w:sz="4" w:space="0" w:color="F4B084"/>
              <w:left w:val="single" w:sz="4" w:space="0" w:color="F4B084"/>
              <w:bottom w:val="single" w:sz="4" w:space="0" w:color="F4B084"/>
              <w:right w:val="single" w:sz="4" w:space="0" w:color="F4B084"/>
            </w:tcBorders>
            <w:vAlign w:val="center"/>
          </w:tcPr>
          <w:p w14:paraId="6832A88F" w14:textId="1FD635F1" w:rsidR="008B5331" w:rsidRPr="00BF6D96" w:rsidRDefault="008B5331" w:rsidP="00251FFC">
            <w:pPr>
              <w:spacing w:line="240" w:lineRule="auto"/>
              <w:rPr>
                <w:rFonts w:eastAsia="Times New Roman" w:cstheme="minorHAnsi"/>
                <w:b/>
                <w:bCs/>
                <w:color w:val="000000"/>
                <w:sz w:val="24"/>
                <w:szCs w:val="24"/>
                <w:lang w:eastAsia="en-IE"/>
              </w:rPr>
            </w:pPr>
          </w:p>
        </w:tc>
      </w:tr>
      <w:tr w:rsidR="00BF6D96" w:rsidRPr="0001294D" w14:paraId="3D733503" w14:textId="77777777" w:rsidTr="005E407D">
        <w:trPr>
          <w:trHeight w:val="851"/>
        </w:trPr>
        <w:tc>
          <w:tcPr>
            <w:tcW w:w="2830" w:type="dxa"/>
            <w:tcBorders>
              <w:top w:val="single" w:sz="4" w:space="0" w:color="F4B084"/>
              <w:left w:val="single" w:sz="4" w:space="0" w:color="F4B084"/>
              <w:bottom w:val="single" w:sz="4" w:space="0" w:color="F4B084"/>
              <w:right w:val="single" w:sz="4" w:space="0" w:color="F4B084"/>
            </w:tcBorders>
            <w:shd w:val="clear" w:color="auto" w:fill="FBE4D5" w:themeFill="accent2" w:themeFillTint="33"/>
            <w:vAlign w:val="center"/>
          </w:tcPr>
          <w:p w14:paraId="2FA2684E" w14:textId="77777777" w:rsidR="00BF6D96" w:rsidRDefault="005E407D" w:rsidP="00BF6D96">
            <w:pPr>
              <w:spacing w:line="240" w:lineRule="auto"/>
              <w:rPr>
                <w:rFonts w:ascii="Calibri" w:eastAsia="Times New Roman" w:hAnsi="Calibri" w:cs="Calibri"/>
                <w:b/>
                <w:color w:val="000000"/>
                <w:sz w:val="24"/>
                <w:szCs w:val="24"/>
                <w:lang w:eastAsia="en-IE"/>
              </w:rPr>
            </w:pPr>
            <w:r>
              <w:rPr>
                <w:rFonts w:ascii="Calibri" w:eastAsia="Times New Roman" w:hAnsi="Calibri" w:cs="Calibri"/>
                <w:b/>
                <w:color w:val="000000"/>
                <w:sz w:val="24"/>
                <w:szCs w:val="24"/>
                <w:lang w:eastAsia="en-IE"/>
              </w:rPr>
              <w:t xml:space="preserve">Project Development Measure </w:t>
            </w:r>
          </w:p>
          <w:p w14:paraId="2720D509" w14:textId="04883482" w:rsidR="001933B6" w:rsidRPr="00BF6D96" w:rsidRDefault="001933B6" w:rsidP="00BF6D96">
            <w:pPr>
              <w:spacing w:line="240" w:lineRule="auto"/>
              <w:rPr>
                <w:rFonts w:ascii="Calibri" w:eastAsia="Times New Roman" w:hAnsi="Calibri" w:cs="Calibri"/>
                <w:b/>
                <w:color w:val="000000"/>
                <w:sz w:val="24"/>
                <w:szCs w:val="24"/>
                <w:lang w:eastAsia="en-IE"/>
              </w:rPr>
            </w:pPr>
            <w:r w:rsidRPr="00BF6D96">
              <w:rPr>
                <w:rFonts w:ascii="Calibri" w:eastAsia="Times New Roman" w:hAnsi="Calibri" w:cs="Calibri"/>
                <w:b/>
                <w:color w:val="000000"/>
                <w:sz w:val="24"/>
                <w:szCs w:val="24"/>
                <w:lang w:eastAsia="en-IE"/>
              </w:rPr>
              <w:t>Project Name</w:t>
            </w:r>
          </w:p>
        </w:tc>
        <w:tc>
          <w:tcPr>
            <w:tcW w:w="4678" w:type="dxa"/>
            <w:tcBorders>
              <w:top w:val="single" w:sz="4" w:space="0" w:color="F4B084"/>
              <w:left w:val="single" w:sz="4" w:space="0" w:color="F4B084"/>
              <w:bottom w:val="single" w:sz="4" w:space="0" w:color="F4B084"/>
              <w:right w:val="single" w:sz="4" w:space="0" w:color="F4B084"/>
            </w:tcBorders>
            <w:shd w:val="clear" w:color="auto" w:fill="FBE4D5" w:themeFill="accent2" w:themeFillTint="33"/>
            <w:vAlign w:val="center"/>
          </w:tcPr>
          <w:p w14:paraId="3199705E" w14:textId="7D43648C" w:rsidR="00BF6D96" w:rsidRPr="00BF6D96" w:rsidRDefault="00BF6D96" w:rsidP="00BF6D96">
            <w:pPr>
              <w:spacing w:line="240" w:lineRule="auto"/>
              <w:rPr>
                <w:rFonts w:eastAsia="Times New Roman" w:cstheme="minorHAnsi"/>
                <w:color w:val="000000"/>
                <w:sz w:val="24"/>
                <w:szCs w:val="24"/>
                <w:lang w:eastAsia="en-IE"/>
              </w:rPr>
            </w:pPr>
            <w:r w:rsidRPr="00BF6D96">
              <w:rPr>
                <w:rFonts w:ascii="Calibri" w:eastAsia="Times New Roman" w:hAnsi="Calibri" w:cs="Calibri"/>
                <w:b/>
                <w:color w:val="000000"/>
                <w:sz w:val="24"/>
                <w:szCs w:val="24"/>
                <w:lang w:eastAsia="en-IE"/>
              </w:rPr>
              <w:t xml:space="preserve">Project Description </w:t>
            </w:r>
          </w:p>
        </w:tc>
        <w:tc>
          <w:tcPr>
            <w:tcW w:w="1508" w:type="dxa"/>
            <w:tcBorders>
              <w:top w:val="single" w:sz="4" w:space="0" w:color="F4B084"/>
              <w:left w:val="single" w:sz="4" w:space="0" w:color="F4B084"/>
              <w:bottom w:val="single" w:sz="4" w:space="0" w:color="F4B084"/>
              <w:right w:val="single" w:sz="4" w:space="0" w:color="F4B084"/>
            </w:tcBorders>
            <w:shd w:val="clear" w:color="auto" w:fill="FBE4D5" w:themeFill="accent2" w:themeFillTint="33"/>
            <w:vAlign w:val="center"/>
          </w:tcPr>
          <w:p w14:paraId="6678A588" w14:textId="39302182" w:rsidR="00BF6D96" w:rsidRPr="00BF6D96" w:rsidRDefault="00BF6D96" w:rsidP="00BF6D96">
            <w:pPr>
              <w:spacing w:line="240" w:lineRule="auto"/>
              <w:rPr>
                <w:rFonts w:eastAsia="Times New Roman" w:cstheme="minorHAnsi"/>
                <w:color w:val="000000"/>
                <w:sz w:val="24"/>
                <w:szCs w:val="24"/>
                <w:lang w:eastAsia="en-IE"/>
              </w:rPr>
            </w:pPr>
            <w:r w:rsidRPr="00BF6D96">
              <w:rPr>
                <w:rFonts w:ascii="Calibri" w:eastAsia="Times New Roman" w:hAnsi="Calibri" w:cs="Calibri"/>
                <w:b/>
                <w:color w:val="000000"/>
                <w:sz w:val="24"/>
                <w:szCs w:val="24"/>
                <w:lang w:eastAsia="en-IE"/>
              </w:rPr>
              <w:t>Grant Allocation</w:t>
            </w:r>
          </w:p>
        </w:tc>
      </w:tr>
      <w:tr w:rsidR="008B5331" w:rsidRPr="0001294D" w14:paraId="4A25665E" w14:textId="77777777" w:rsidTr="008B5331">
        <w:trPr>
          <w:trHeight w:val="851"/>
        </w:trPr>
        <w:tc>
          <w:tcPr>
            <w:tcW w:w="2830" w:type="dxa"/>
            <w:tcBorders>
              <w:top w:val="single" w:sz="4" w:space="0" w:color="F4B084"/>
              <w:left w:val="single" w:sz="4" w:space="0" w:color="F4B084"/>
              <w:bottom w:val="single" w:sz="4" w:space="0" w:color="F4B084"/>
              <w:right w:val="single" w:sz="4" w:space="0" w:color="F4B084"/>
            </w:tcBorders>
            <w:vAlign w:val="center"/>
          </w:tcPr>
          <w:p w14:paraId="261890B9" w14:textId="47E15F40" w:rsidR="008B5331" w:rsidRPr="00EB19EC" w:rsidRDefault="00BF6D96" w:rsidP="00251FFC">
            <w:pPr>
              <w:spacing w:line="240" w:lineRule="auto"/>
              <w:rPr>
                <w:rFonts w:ascii="Calibri" w:eastAsia="Times New Roman" w:hAnsi="Calibri" w:cs="Calibri"/>
                <w:b/>
                <w:color w:val="000000"/>
                <w:sz w:val="24"/>
                <w:szCs w:val="24"/>
                <w:lang w:eastAsia="en-IE"/>
              </w:rPr>
            </w:pPr>
            <w:r w:rsidRPr="00BF6D96">
              <w:rPr>
                <w:rFonts w:ascii="Calibri" w:eastAsia="Times New Roman" w:hAnsi="Calibri" w:cs="Calibri"/>
                <w:b/>
                <w:color w:val="000000"/>
                <w:sz w:val="24"/>
                <w:szCs w:val="24"/>
                <w:lang w:eastAsia="en-IE"/>
              </w:rPr>
              <w:t>Carrick on Suir</w:t>
            </w:r>
            <w:r>
              <w:rPr>
                <w:rFonts w:ascii="Calibri" w:eastAsia="Times New Roman" w:hAnsi="Calibri" w:cs="Calibri"/>
                <w:b/>
                <w:color w:val="000000"/>
                <w:sz w:val="24"/>
                <w:szCs w:val="24"/>
                <w:lang w:eastAsia="en-IE"/>
              </w:rPr>
              <w:t xml:space="preserve"> Duck Pond</w:t>
            </w:r>
          </w:p>
        </w:tc>
        <w:tc>
          <w:tcPr>
            <w:tcW w:w="4678" w:type="dxa"/>
            <w:tcBorders>
              <w:top w:val="single" w:sz="4" w:space="0" w:color="F4B084"/>
              <w:left w:val="single" w:sz="4" w:space="0" w:color="F4B084"/>
              <w:bottom w:val="single" w:sz="4" w:space="0" w:color="F4B084"/>
              <w:right w:val="single" w:sz="4" w:space="0" w:color="F4B084"/>
            </w:tcBorders>
            <w:vAlign w:val="center"/>
          </w:tcPr>
          <w:p w14:paraId="1774D33D" w14:textId="2FB63D86" w:rsidR="008B5331" w:rsidRPr="008C4C52" w:rsidRDefault="00BF6D96" w:rsidP="00C4648D">
            <w:pPr>
              <w:spacing w:line="240" w:lineRule="auto"/>
              <w:rPr>
                <w:rFonts w:eastAsia="Times New Roman" w:cstheme="minorHAnsi"/>
                <w:color w:val="000000"/>
                <w:sz w:val="24"/>
                <w:szCs w:val="24"/>
                <w:lang w:eastAsia="en-IE"/>
              </w:rPr>
            </w:pPr>
            <w:r w:rsidRPr="00BF6D96">
              <w:rPr>
                <w:rFonts w:eastAsia="Times New Roman" w:cstheme="minorHAnsi"/>
                <w:color w:val="000000"/>
                <w:sz w:val="24"/>
                <w:szCs w:val="24"/>
                <w:lang w:eastAsia="en-IE"/>
              </w:rPr>
              <w:t>To transform the under-utilised Duck Pond Area into a publicly accessible, environmentally sustainable amenity. Planning and design stages to progress towards capital investment readiness.</w:t>
            </w:r>
          </w:p>
        </w:tc>
        <w:tc>
          <w:tcPr>
            <w:tcW w:w="1508" w:type="dxa"/>
            <w:tcBorders>
              <w:top w:val="single" w:sz="4" w:space="0" w:color="F4B084"/>
              <w:left w:val="single" w:sz="4" w:space="0" w:color="F4B084"/>
              <w:bottom w:val="single" w:sz="4" w:space="0" w:color="F4B084"/>
              <w:right w:val="single" w:sz="4" w:space="0" w:color="F4B084"/>
            </w:tcBorders>
            <w:vAlign w:val="center"/>
          </w:tcPr>
          <w:p w14:paraId="77D89051" w14:textId="03C76EBA" w:rsidR="008B5331" w:rsidRPr="008C4C52" w:rsidRDefault="00BF6D96" w:rsidP="00251FFC">
            <w:pPr>
              <w:spacing w:line="240" w:lineRule="auto"/>
              <w:rPr>
                <w:rFonts w:eastAsia="Times New Roman" w:cstheme="minorHAnsi"/>
                <w:color w:val="000000"/>
                <w:sz w:val="24"/>
                <w:szCs w:val="24"/>
                <w:lang w:eastAsia="en-IE"/>
              </w:rPr>
            </w:pPr>
            <w:r>
              <w:rPr>
                <w:rFonts w:eastAsia="Times New Roman" w:cstheme="minorHAnsi"/>
                <w:color w:val="000000"/>
                <w:sz w:val="24"/>
                <w:szCs w:val="24"/>
                <w:lang w:eastAsia="en-IE"/>
              </w:rPr>
              <w:t>€50,000</w:t>
            </w:r>
          </w:p>
        </w:tc>
      </w:tr>
      <w:tr w:rsidR="00BF6D96" w:rsidRPr="0001294D" w14:paraId="278449AF" w14:textId="77777777" w:rsidTr="008B5331">
        <w:trPr>
          <w:trHeight w:val="851"/>
        </w:trPr>
        <w:tc>
          <w:tcPr>
            <w:tcW w:w="2830" w:type="dxa"/>
            <w:tcBorders>
              <w:top w:val="single" w:sz="4" w:space="0" w:color="F4B084"/>
              <w:left w:val="single" w:sz="4" w:space="0" w:color="F4B084"/>
              <w:bottom w:val="single" w:sz="4" w:space="0" w:color="F4B084"/>
              <w:right w:val="single" w:sz="4" w:space="0" w:color="F4B084"/>
            </w:tcBorders>
            <w:vAlign w:val="center"/>
          </w:tcPr>
          <w:p w14:paraId="0871343C" w14:textId="29EB3FF6" w:rsidR="00BF6D96" w:rsidRPr="00EB19EC" w:rsidRDefault="00BF6D96" w:rsidP="00BF6D96">
            <w:pPr>
              <w:spacing w:line="240" w:lineRule="auto"/>
              <w:rPr>
                <w:rFonts w:ascii="Calibri" w:eastAsia="Times New Roman" w:hAnsi="Calibri" w:cs="Calibri"/>
                <w:b/>
                <w:color w:val="000000"/>
                <w:sz w:val="24"/>
                <w:szCs w:val="24"/>
                <w:lang w:eastAsia="en-IE"/>
              </w:rPr>
            </w:pPr>
            <w:r w:rsidRPr="00BF6D96">
              <w:rPr>
                <w:rFonts w:ascii="Calibri" w:eastAsia="Times New Roman" w:hAnsi="Calibri" w:cs="Calibri"/>
                <w:b/>
                <w:color w:val="000000"/>
                <w:sz w:val="24"/>
                <w:szCs w:val="24"/>
                <w:lang w:eastAsia="en-IE"/>
              </w:rPr>
              <w:t>Golden</w:t>
            </w:r>
          </w:p>
        </w:tc>
        <w:tc>
          <w:tcPr>
            <w:tcW w:w="4678" w:type="dxa"/>
            <w:tcBorders>
              <w:top w:val="single" w:sz="4" w:space="0" w:color="F4B084"/>
              <w:left w:val="single" w:sz="4" w:space="0" w:color="F4B084"/>
              <w:bottom w:val="single" w:sz="4" w:space="0" w:color="F4B084"/>
              <w:right w:val="single" w:sz="4" w:space="0" w:color="F4B084"/>
            </w:tcBorders>
            <w:vAlign w:val="center"/>
          </w:tcPr>
          <w:p w14:paraId="79EDA95A" w14:textId="7E94F63B" w:rsidR="00BF6D96" w:rsidRPr="008C4C52" w:rsidRDefault="00BF6D96" w:rsidP="00BF6D96">
            <w:pPr>
              <w:spacing w:line="240" w:lineRule="auto"/>
              <w:rPr>
                <w:rFonts w:eastAsia="Times New Roman" w:cstheme="minorHAnsi"/>
                <w:color w:val="000000"/>
                <w:sz w:val="24"/>
                <w:szCs w:val="24"/>
                <w:lang w:eastAsia="en-IE"/>
              </w:rPr>
            </w:pPr>
            <w:r w:rsidRPr="00BF6D96">
              <w:rPr>
                <w:rFonts w:eastAsia="Times New Roman" w:cstheme="minorHAnsi"/>
                <w:color w:val="000000"/>
                <w:sz w:val="24"/>
                <w:szCs w:val="24"/>
                <w:lang w:eastAsia="en-IE"/>
              </w:rPr>
              <w:t>Enhance Golden Island and adjoining site and properties to support the development of the village as a sustainable rural community and deliver a focal point where people can meet and relax along the banks of the River Suir.</w:t>
            </w:r>
          </w:p>
        </w:tc>
        <w:tc>
          <w:tcPr>
            <w:tcW w:w="1508" w:type="dxa"/>
            <w:tcBorders>
              <w:top w:val="single" w:sz="4" w:space="0" w:color="F4B084"/>
              <w:left w:val="single" w:sz="4" w:space="0" w:color="F4B084"/>
              <w:bottom w:val="single" w:sz="4" w:space="0" w:color="F4B084"/>
              <w:right w:val="single" w:sz="4" w:space="0" w:color="F4B084"/>
            </w:tcBorders>
            <w:vAlign w:val="center"/>
          </w:tcPr>
          <w:p w14:paraId="2D86CD72" w14:textId="693C3917" w:rsidR="00BF6D96" w:rsidRPr="008C4C52" w:rsidRDefault="00BF6D96" w:rsidP="00BF6D96">
            <w:pPr>
              <w:spacing w:line="240" w:lineRule="auto"/>
              <w:rPr>
                <w:rFonts w:eastAsia="Times New Roman" w:cstheme="minorHAnsi"/>
                <w:color w:val="000000"/>
                <w:sz w:val="24"/>
                <w:szCs w:val="24"/>
                <w:lang w:eastAsia="en-IE"/>
              </w:rPr>
            </w:pPr>
            <w:r>
              <w:rPr>
                <w:rFonts w:eastAsia="Times New Roman" w:cstheme="minorHAnsi"/>
                <w:color w:val="000000"/>
                <w:sz w:val="24"/>
                <w:szCs w:val="24"/>
                <w:lang w:eastAsia="en-IE"/>
              </w:rPr>
              <w:t>€50,000</w:t>
            </w:r>
          </w:p>
        </w:tc>
      </w:tr>
    </w:tbl>
    <w:p w14:paraId="2C13C788" w14:textId="77777777" w:rsidR="008B5331" w:rsidRDefault="008B5331" w:rsidP="00DA2A2F">
      <w:pPr>
        <w:rPr>
          <w:rFonts w:cstheme="minorHAnsi"/>
          <w:sz w:val="24"/>
          <w:szCs w:val="24"/>
        </w:rPr>
      </w:pPr>
    </w:p>
    <w:p w14:paraId="0BF4CD39" w14:textId="77777777" w:rsidR="00F23F39" w:rsidRDefault="008021CE" w:rsidP="00DA2A2F">
      <w:pPr>
        <w:rPr>
          <w:rFonts w:cstheme="minorHAnsi"/>
          <w:sz w:val="24"/>
          <w:szCs w:val="24"/>
        </w:rPr>
      </w:pPr>
      <w:r>
        <w:rPr>
          <w:rFonts w:cstheme="minorHAnsi"/>
          <w:sz w:val="24"/>
          <w:szCs w:val="24"/>
        </w:rPr>
        <w:t>Commenting on the announcement, M</w:t>
      </w:r>
      <w:r w:rsidR="00116FDB">
        <w:rPr>
          <w:rFonts w:cstheme="minorHAnsi"/>
          <w:sz w:val="24"/>
          <w:szCs w:val="24"/>
        </w:rPr>
        <w:t xml:space="preserve">s. Sinead Carr, </w:t>
      </w:r>
      <w:r>
        <w:rPr>
          <w:rFonts w:cstheme="minorHAnsi"/>
          <w:sz w:val="24"/>
          <w:szCs w:val="24"/>
        </w:rPr>
        <w:t>Chief Executive</w:t>
      </w:r>
      <w:r w:rsidR="008C4C52">
        <w:rPr>
          <w:rFonts w:cstheme="minorHAnsi"/>
          <w:sz w:val="24"/>
          <w:szCs w:val="24"/>
        </w:rPr>
        <w:t xml:space="preserve"> of</w:t>
      </w:r>
      <w:r>
        <w:rPr>
          <w:rFonts w:cstheme="minorHAnsi"/>
          <w:sz w:val="24"/>
          <w:szCs w:val="24"/>
        </w:rPr>
        <w:t xml:space="preserve"> Tipperary County Council stated that </w:t>
      </w:r>
      <w:r w:rsidR="00DA2A2F" w:rsidRPr="00DA2A2F">
        <w:rPr>
          <w:rFonts w:cstheme="minorHAnsi"/>
          <w:sz w:val="24"/>
          <w:szCs w:val="24"/>
        </w:rPr>
        <w:t xml:space="preserve">"Tipperary County Council welcomes the allocation of </w:t>
      </w:r>
      <w:r w:rsidR="00DA2A2F" w:rsidRPr="00EB19EC">
        <w:rPr>
          <w:rFonts w:cstheme="minorHAnsi"/>
          <w:b/>
          <w:sz w:val="24"/>
          <w:szCs w:val="24"/>
        </w:rPr>
        <w:t>€</w:t>
      </w:r>
      <w:r w:rsidR="004A7D47">
        <w:rPr>
          <w:rFonts w:cstheme="minorHAnsi"/>
          <w:b/>
          <w:sz w:val="24"/>
          <w:szCs w:val="24"/>
        </w:rPr>
        <w:t xml:space="preserve">1,012,950 </w:t>
      </w:r>
      <w:r w:rsidR="004A7D47">
        <w:rPr>
          <w:rFonts w:cstheme="minorHAnsi"/>
          <w:bCs/>
          <w:sz w:val="24"/>
          <w:szCs w:val="24"/>
        </w:rPr>
        <w:t xml:space="preserve">under the Town Renewal Scheme. </w:t>
      </w:r>
      <w:r w:rsidR="009230FA" w:rsidRPr="009230FA">
        <w:rPr>
          <w:rFonts w:cstheme="minorHAnsi"/>
          <w:sz w:val="24"/>
          <w:szCs w:val="24"/>
        </w:rPr>
        <w:t>This funding represents a significant investment in the heart of our rural communities, supporting town</w:t>
      </w:r>
      <w:r w:rsidR="009230FA" w:rsidRPr="009230FA">
        <w:rPr>
          <w:rFonts w:cstheme="minorHAnsi"/>
          <w:sz w:val="24"/>
          <w:szCs w:val="24"/>
        </w:rPr>
        <w:noBreakHyphen/>
        <w:t>centre regeneration</w:t>
      </w:r>
      <w:r w:rsidR="004A7D47">
        <w:rPr>
          <w:rFonts w:cstheme="minorHAnsi"/>
          <w:sz w:val="24"/>
          <w:szCs w:val="24"/>
        </w:rPr>
        <w:t xml:space="preserve"> </w:t>
      </w:r>
      <w:r w:rsidR="009230FA" w:rsidRPr="009230FA">
        <w:rPr>
          <w:rFonts w:cstheme="minorHAnsi"/>
          <w:sz w:val="24"/>
          <w:szCs w:val="24"/>
        </w:rPr>
        <w:t>and breathing new life into our streetscapes. These projects will not only enhance the quality of life for residents but will also attract further economic and social activity, ensuring our towns are vibrant, sustainable places to live, work, and visit</w:t>
      </w:r>
      <w:r w:rsidR="00F23F39">
        <w:rPr>
          <w:rFonts w:cstheme="minorHAnsi"/>
          <w:sz w:val="24"/>
          <w:szCs w:val="24"/>
        </w:rPr>
        <w:t>.</w:t>
      </w:r>
    </w:p>
    <w:p w14:paraId="6562857B" w14:textId="3232B6ED" w:rsidR="008021CE" w:rsidRDefault="00F23F39" w:rsidP="00DA2A2F">
      <w:pPr>
        <w:rPr>
          <w:rFonts w:cstheme="minorHAnsi"/>
          <w:sz w:val="24"/>
          <w:szCs w:val="24"/>
        </w:rPr>
      </w:pPr>
      <w:r w:rsidRPr="00F23F39">
        <w:rPr>
          <w:rFonts w:cstheme="minorHAnsi"/>
          <w:sz w:val="24"/>
          <w:szCs w:val="24"/>
        </w:rPr>
        <w:t>Tipperary County Council wishes to sincerely thank our elected members for their continued support in providing the match funding for these projects. Their commitment enables us to draw down significant Government funding, ensuring that these transformative initiatives can be delivered for the benefit of our communities</w:t>
      </w:r>
      <w:r>
        <w:rPr>
          <w:rFonts w:cstheme="minorHAnsi"/>
          <w:sz w:val="24"/>
          <w:szCs w:val="24"/>
        </w:rPr>
        <w:t>.</w:t>
      </w:r>
      <w:r w:rsidR="00DA2A2F" w:rsidRPr="00DA2A2F">
        <w:rPr>
          <w:rFonts w:cstheme="minorHAnsi"/>
          <w:sz w:val="24"/>
          <w:szCs w:val="24"/>
        </w:rPr>
        <w:t>"</w:t>
      </w:r>
    </w:p>
    <w:p w14:paraId="7F0617CC" w14:textId="27CBEF43" w:rsidR="009352CE" w:rsidRDefault="009352CE" w:rsidP="00DA2A2F">
      <w:pPr>
        <w:rPr>
          <w:rFonts w:cstheme="minorHAnsi"/>
          <w:sz w:val="24"/>
          <w:szCs w:val="24"/>
        </w:rPr>
      </w:pPr>
    </w:p>
    <w:p w14:paraId="65DB7CC6" w14:textId="20910AD7" w:rsidR="0001294D" w:rsidRDefault="00141D9E">
      <w:pPr>
        <w:rPr>
          <w:sz w:val="24"/>
          <w:szCs w:val="24"/>
        </w:rPr>
      </w:pPr>
      <w:r>
        <w:rPr>
          <w:sz w:val="24"/>
          <w:szCs w:val="24"/>
        </w:rPr>
        <w:t>Ends</w:t>
      </w:r>
    </w:p>
    <w:p w14:paraId="44066E19" w14:textId="77777777" w:rsidR="00141D9E" w:rsidRDefault="00141D9E">
      <w:pPr>
        <w:rPr>
          <w:sz w:val="24"/>
          <w:szCs w:val="24"/>
        </w:rPr>
      </w:pPr>
    </w:p>
    <w:p w14:paraId="4A3FD418" w14:textId="77777777" w:rsidR="008021CE" w:rsidRDefault="008021CE" w:rsidP="006424E6">
      <w:pPr>
        <w:jc w:val="center"/>
        <w:rPr>
          <w:b/>
          <w:sz w:val="28"/>
          <w:szCs w:val="28"/>
        </w:rPr>
      </w:pPr>
    </w:p>
    <w:sectPr w:rsidR="008021CE" w:rsidSect="0052254B">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3D99"/>
    <w:multiLevelType w:val="hybridMultilevel"/>
    <w:tmpl w:val="B8343F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FB63117"/>
    <w:multiLevelType w:val="hybridMultilevel"/>
    <w:tmpl w:val="D38414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86252497">
    <w:abstractNumId w:val="0"/>
  </w:num>
  <w:num w:numId="2" w16cid:durableId="1547373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FA"/>
    <w:rsid w:val="0001294D"/>
    <w:rsid w:val="00025826"/>
    <w:rsid w:val="0008643F"/>
    <w:rsid w:val="00105C11"/>
    <w:rsid w:val="00116FDB"/>
    <w:rsid w:val="00141D9E"/>
    <w:rsid w:val="001933B6"/>
    <w:rsid w:val="00270C0E"/>
    <w:rsid w:val="002730A4"/>
    <w:rsid w:val="002F37C7"/>
    <w:rsid w:val="00376680"/>
    <w:rsid w:val="00386480"/>
    <w:rsid w:val="003C1B1E"/>
    <w:rsid w:val="003F01DA"/>
    <w:rsid w:val="003F6345"/>
    <w:rsid w:val="00407CF2"/>
    <w:rsid w:val="00452FD9"/>
    <w:rsid w:val="00495AFA"/>
    <w:rsid w:val="004A7D47"/>
    <w:rsid w:val="004C1E90"/>
    <w:rsid w:val="004D70A1"/>
    <w:rsid w:val="0052254B"/>
    <w:rsid w:val="005C35BA"/>
    <w:rsid w:val="005E407D"/>
    <w:rsid w:val="006424E6"/>
    <w:rsid w:val="006E277B"/>
    <w:rsid w:val="00713013"/>
    <w:rsid w:val="00720F40"/>
    <w:rsid w:val="007759FA"/>
    <w:rsid w:val="007B781B"/>
    <w:rsid w:val="008021CE"/>
    <w:rsid w:val="00866281"/>
    <w:rsid w:val="008B5331"/>
    <w:rsid w:val="008C2DC5"/>
    <w:rsid w:val="008C4C52"/>
    <w:rsid w:val="008F060F"/>
    <w:rsid w:val="009230FA"/>
    <w:rsid w:val="009352CE"/>
    <w:rsid w:val="009A673F"/>
    <w:rsid w:val="00A31595"/>
    <w:rsid w:val="00A75E7F"/>
    <w:rsid w:val="00AE6062"/>
    <w:rsid w:val="00B14C66"/>
    <w:rsid w:val="00BF6D96"/>
    <w:rsid w:val="00C049B7"/>
    <w:rsid w:val="00C15D08"/>
    <w:rsid w:val="00C4648D"/>
    <w:rsid w:val="00CE645F"/>
    <w:rsid w:val="00D21225"/>
    <w:rsid w:val="00D91C26"/>
    <w:rsid w:val="00DA2A2F"/>
    <w:rsid w:val="00DB7FAA"/>
    <w:rsid w:val="00E87181"/>
    <w:rsid w:val="00E9746A"/>
    <w:rsid w:val="00EB19EC"/>
    <w:rsid w:val="00F214E6"/>
    <w:rsid w:val="00F23F39"/>
    <w:rsid w:val="00F66D8F"/>
    <w:rsid w:val="00FE3D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67EC"/>
  <w15:chartTrackingRefBased/>
  <w15:docId w15:val="{AFD60466-B61F-4DDD-8524-474258C8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
    <w:basedOn w:val="Normal"/>
    <w:link w:val="ListParagraphChar"/>
    <w:uiPriority w:val="34"/>
    <w:qFormat/>
    <w:rsid w:val="0086628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866281"/>
  </w:style>
  <w:style w:type="character" w:styleId="Hyperlink">
    <w:name w:val="Hyperlink"/>
    <w:basedOn w:val="DefaultParagraphFont"/>
    <w:uiPriority w:val="99"/>
    <w:unhideWhenUsed/>
    <w:rsid w:val="00866281"/>
    <w:rPr>
      <w:color w:val="0000FF"/>
      <w:u w:val="single"/>
    </w:rPr>
  </w:style>
  <w:style w:type="paragraph" w:styleId="NormalWeb">
    <w:name w:val="Normal (Web)"/>
    <w:basedOn w:val="Normal"/>
    <w:uiPriority w:val="99"/>
    <w:semiHidden/>
    <w:unhideWhenUsed/>
    <w:rsid w:val="008C4C52"/>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8705">
      <w:bodyDiv w:val="1"/>
      <w:marLeft w:val="0"/>
      <w:marRight w:val="0"/>
      <w:marTop w:val="0"/>
      <w:marBottom w:val="0"/>
      <w:divBdr>
        <w:top w:val="none" w:sz="0" w:space="0" w:color="auto"/>
        <w:left w:val="none" w:sz="0" w:space="0" w:color="auto"/>
        <w:bottom w:val="none" w:sz="0" w:space="0" w:color="auto"/>
        <w:right w:val="none" w:sz="0" w:space="0" w:color="auto"/>
      </w:divBdr>
    </w:div>
    <w:div w:id="797263040">
      <w:bodyDiv w:val="1"/>
      <w:marLeft w:val="0"/>
      <w:marRight w:val="0"/>
      <w:marTop w:val="0"/>
      <w:marBottom w:val="0"/>
      <w:divBdr>
        <w:top w:val="none" w:sz="0" w:space="0" w:color="auto"/>
        <w:left w:val="none" w:sz="0" w:space="0" w:color="auto"/>
        <w:bottom w:val="none" w:sz="0" w:space="0" w:color="auto"/>
        <w:right w:val="none" w:sz="0" w:space="0" w:color="auto"/>
      </w:divBdr>
    </w:div>
    <w:div w:id="817499984">
      <w:bodyDiv w:val="1"/>
      <w:marLeft w:val="0"/>
      <w:marRight w:val="0"/>
      <w:marTop w:val="0"/>
      <w:marBottom w:val="0"/>
      <w:divBdr>
        <w:top w:val="none" w:sz="0" w:space="0" w:color="auto"/>
        <w:left w:val="none" w:sz="0" w:space="0" w:color="auto"/>
        <w:bottom w:val="none" w:sz="0" w:space="0" w:color="auto"/>
        <w:right w:val="none" w:sz="0" w:space="0" w:color="auto"/>
      </w:divBdr>
    </w:div>
    <w:div w:id="118786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7EF1-DC1A-4147-B844-C972990C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Kavanagh</dc:creator>
  <cp:keywords/>
  <dc:description/>
  <cp:lastModifiedBy>Sheehan, Angela</cp:lastModifiedBy>
  <cp:revision>2</cp:revision>
  <dcterms:created xsi:type="dcterms:W3CDTF">2025-12-22T14:27:00Z</dcterms:created>
  <dcterms:modified xsi:type="dcterms:W3CDTF">2025-12-22T14:27:00Z</dcterms:modified>
</cp:coreProperties>
</file>